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99" w:rsidRDefault="00025157" w:rsidP="00702E1E">
      <w:pPr>
        <w:spacing w:after="120" w:line="276" w:lineRule="auto"/>
        <w:rPr>
          <w:rFonts w:cs="Arial"/>
          <w:b/>
          <w:color w:val="222222"/>
          <w:sz w:val="24"/>
          <w:szCs w:val="24"/>
          <w:shd w:val="clear" w:color="auto" w:fill="FFFFFF"/>
        </w:rPr>
      </w:pPr>
      <w:r w:rsidRPr="004E5C99">
        <w:rPr>
          <w:rFonts w:cs="Arial"/>
          <w:b/>
          <w:color w:val="222222"/>
          <w:sz w:val="24"/>
          <w:szCs w:val="24"/>
          <w:shd w:val="clear" w:color="auto" w:fill="FFFFFF"/>
        </w:rPr>
        <w:t xml:space="preserve">20 </w:t>
      </w:r>
      <w:r w:rsidR="00BE3807">
        <w:rPr>
          <w:rFonts w:cs="Arial"/>
          <w:b/>
          <w:color w:val="222222"/>
          <w:sz w:val="24"/>
          <w:szCs w:val="24"/>
          <w:shd w:val="clear" w:color="auto" w:fill="FFFFFF"/>
        </w:rPr>
        <w:t>key ideas</w:t>
      </w:r>
      <w:r w:rsidRPr="004E5C99">
        <w:rPr>
          <w:rFonts w:cs="Arial"/>
          <w:b/>
          <w:color w:val="222222"/>
          <w:sz w:val="24"/>
          <w:szCs w:val="24"/>
          <w:shd w:val="clear" w:color="auto" w:fill="FFFFFF"/>
        </w:rPr>
        <w:t xml:space="preserve"> on shared and formative assessment </w:t>
      </w:r>
    </w:p>
    <w:p w:rsidR="00BE3807" w:rsidRPr="004E5C99" w:rsidRDefault="00BE3807" w:rsidP="00702E1E">
      <w:pPr>
        <w:spacing w:after="120" w:line="276" w:lineRule="auto"/>
        <w:rPr>
          <w:rFonts w:cs="Arial"/>
          <w:color w:val="222222"/>
          <w:sz w:val="24"/>
          <w:szCs w:val="24"/>
          <w:shd w:val="clear" w:color="auto" w:fill="FFFFFF"/>
        </w:rPr>
      </w:pPr>
      <w:r>
        <w:rPr>
          <w:rFonts w:cs="Arial"/>
          <w:b/>
          <w:color w:val="222222"/>
          <w:sz w:val="24"/>
          <w:szCs w:val="24"/>
          <w:shd w:val="clear" w:color="auto" w:fill="FFFFFF"/>
        </w:rPr>
        <w:t xml:space="preserve">The following are propositions formulated by Sally Brown, supported by indicative literature in the field </w:t>
      </w:r>
    </w:p>
    <w:p w:rsidR="009E24CC" w:rsidRPr="004E5C99" w:rsidRDefault="00025157" w:rsidP="00702E1E">
      <w:pPr>
        <w:pStyle w:val="ListParagraph"/>
        <w:numPr>
          <w:ilvl w:val="0"/>
          <w:numId w:val="1"/>
        </w:numPr>
        <w:spacing w:after="120" w:line="276" w:lineRule="auto"/>
        <w:ind w:left="567" w:hanging="567"/>
        <w:contextualSpacing w:val="0"/>
        <w:rPr>
          <w:rFonts w:cs="Arial"/>
          <w:color w:val="222222"/>
          <w:sz w:val="24"/>
          <w:szCs w:val="24"/>
          <w:shd w:val="clear" w:color="auto" w:fill="FFFFFF"/>
        </w:rPr>
      </w:pPr>
      <w:r w:rsidRPr="004E5C99">
        <w:rPr>
          <w:rFonts w:cs="Arial"/>
          <w:color w:val="222222"/>
          <w:sz w:val="24"/>
          <w:szCs w:val="24"/>
          <w:shd w:val="clear" w:color="auto" w:fill="FFFFFF"/>
        </w:rPr>
        <w:t>Ideas formulated around shared and formative</w:t>
      </w:r>
      <w:r w:rsidR="009E24CC" w:rsidRPr="004E5C99">
        <w:rPr>
          <w:rFonts w:cs="Arial"/>
          <w:color w:val="222222"/>
          <w:sz w:val="24"/>
          <w:szCs w:val="24"/>
          <w:shd w:val="clear" w:color="auto" w:fill="FFFFFF"/>
        </w:rPr>
        <w:t xml:space="preserve"> assessment </w:t>
      </w:r>
      <w:r w:rsidR="00990C45" w:rsidRPr="004E5C99">
        <w:rPr>
          <w:rFonts w:cs="Arial"/>
          <w:color w:val="222222"/>
          <w:sz w:val="24"/>
          <w:szCs w:val="24"/>
          <w:shd w:val="clear" w:color="auto" w:fill="FFFFFF"/>
        </w:rPr>
        <w:t>result from 40+ years of evidence</w:t>
      </w:r>
      <w:r w:rsidR="004E5C99" w:rsidRPr="004E5C99">
        <w:rPr>
          <w:rFonts w:cs="Arial"/>
          <w:color w:val="222222"/>
          <w:sz w:val="24"/>
          <w:szCs w:val="24"/>
          <w:shd w:val="clear" w:color="auto" w:fill="FFFFFF"/>
        </w:rPr>
        <w:t>-</w:t>
      </w:r>
      <w:r w:rsidR="00990C45" w:rsidRPr="004E5C99">
        <w:rPr>
          <w:rFonts w:cs="Arial"/>
          <w:color w:val="222222"/>
          <w:sz w:val="24"/>
          <w:szCs w:val="24"/>
          <w:shd w:val="clear" w:color="auto" w:fill="FFFFFF"/>
        </w:rPr>
        <w:t>le</w:t>
      </w:r>
      <w:r w:rsidRPr="004E5C99">
        <w:rPr>
          <w:rFonts w:cs="Arial"/>
          <w:color w:val="222222"/>
          <w:sz w:val="24"/>
          <w:szCs w:val="24"/>
          <w:shd w:val="clear" w:color="auto" w:fill="FFFFFF"/>
        </w:rPr>
        <w:t>d scholarship in the area</w:t>
      </w:r>
      <w:r w:rsidR="00F807C8">
        <w:rPr>
          <w:rFonts w:cs="Arial"/>
          <w:color w:val="222222"/>
          <w:sz w:val="24"/>
          <w:szCs w:val="24"/>
          <w:shd w:val="clear" w:color="auto" w:fill="FFFFFF"/>
        </w:rPr>
        <w:t xml:space="preserve"> (see </w:t>
      </w:r>
      <w:r w:rsidR="00BE3807">
        <w:rPr>
          <w:rFonts w:cs="Arial"/>
          <w:color w:val="222222"/>
          <w:sz w:val="24"/>
          <w:szCs w:val="24"/>
          <w:shd w:val="clear" w:color="auto" w:fill="FFFFFF"/>
        </w:rPr>
        <w:t xml:space="preserve">long list of </w:t>
      </w:r>
      <w:r w:rsidR="00F807C8">
        <w:rPr>
          <w:rFonts w:cs="Arial"/>
          <w:color w:val="222222"/>
          <w:sz w:val="24"/>
          <w:szCs w:val="24"/>
          <w:shd w:val="clear" w:color="auto" w:fill="FFFFFF"/>
        </w:rPr>
        <w:t>references below)</w:t>
      </w:r>
      <w:r w:rsidR="00990C45" w:rsidRPr="004E5C99">
        <w:rPr>
          <w:rFonts w:cs="Arial"/>
          <w:color w:val="222222"/>
          <w:sz w:val="24"/>
          <w:szCs w:val="24"/>
          <w:shd w:val="clear" w:color="auto" w:fill="FFFFFF"/>
        </w:rPr>
        <w:t>.</w:t>
      </w:r>
    </w:p>
    <w:p w:rsidR="00186A9E" w:rsidRDefault="009E24CC" w:rsidP="00396CC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186A9E">
        <w:rPr>
          <w:rFonts w:cs="Arial"/>
          <w:color w:val="222222"/>
          <w:sz w:val="24"/>
          <w:szCs w:val="24"/>
          <w:shd w:val="clear" w:color="auto" w:fill="FFFFFF"/>
        </w:rPr>
        <w:t>Assessment must be for, not just of learning, that is to say the activities associated with preparing for and undertaking assignments should be valuable as learning in themselves.</w:t>
      </w:r>
      <w:r w:rsidR="00186A9E">
        <w:rPr>
          <w:rStyle w:val="EndnoteReference"/>
          <w:rFonts w:cs="Arial"/>
          <w:color w:val="222222"/>
          <w:sz w:val="24"/>
          <w:szCs w:val="24"/>
          <w:shd w:val="clear" w:color="auto" w:fill="FFFFFF"/>
        </w:rPr>
        <w:endnoteReference w:id="1"/>
      </w:r>
    </w:p>
    <w:p w:rsidR="009E24CC" w:rsidRPr="00186A9E" w:rsidRDefault="009E24CC" w:rsidP="00396CC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186A9E">
        <w:rPr>
          <w:rFonts w:cs="Arial"/>
          <w:color w:val="222222"/>
          <w:sz w:val="24"/>
          <w:szCs w:val="24"/>
          <w:shd w:val="clear" w:color="auto" w:fill="FFFFFF"/>
        </w:rPr>
        <w:t>Students undertaking peer assessment for the first time need to go through a structured process. This includes providing an evidence-based rationale for using peer assessment, describing the task involved, discussing or negotiating the criteria, giving students opportunities to review how the assessment criteria match the learning outcomes, providing risk-free rehearsal opportunities with a debriefing to clarify issues, then finally undertaking the task and debriefing. This process is a useful one whenever any form of innovative assessment is used.</w:t>
      </w:r>
      <w:r w:rsidR="00186A9E">
        <w:rPr>
          <w:rFonts w:cs="Arial"/>
          <w:color w:val="222222"/>
          <w:sz w:val="24"/>
          <w:szCs w:val="24"/>
          <w:shd w:val="clear" w:color="auto" w:fill="FFFFFF"/>
        </w:rPr>
        <w:t xml:space="preserve"> </w:t>
      </w:r>
      <w:r w:rsidR="00186A9E">
        <w:rPr>
          <w:rStyle w:val="EndnoteReference"/>
          <w:rFonts w:cs="Arial"/>
          <w:color w:val="222222"/>
          <w:sz w:val="24"/>
          <w:szCs w:val="24"/>
          <w:shd w:val="clear" w:color="auto" w:fill="FFFFFF"/>
        </w:rPr>
        <w:endnoteReference w:id="2"/>
      </w:r>
    </w:p>
    <w:p w:rsidR="009E24CC" w:rsidRPr="004E5C99" w:rsidRDefault="009E24CC"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Students may need support in developing the skills to give one another feedback. On some occasions they can be too harsh with their criticism, but on other occasions it has been observed but they tend to be kind to one another by giving higher marks than contributions actually deserve.</w:t>
      </w:r>
      <w:r w:rsidR="00DD7867" w:rsidRPr="004E5C99">
        <w:rPr>
          <w:rFonts w:cs="Arial"/>
          <w:color w:val="222222"/>
          <w:sz w:val="24"/>
          <w:szCs w:val="24"/>
          <w:shd w:val="clear" w:color="auto" w:fill="FFFFFF"/>
        </w:rPr>
        <w:t xml:space="preserve"> </w:t>
      </w:r>
      <w:r w:rsidR="00186A9E">
        <w:rPr>
          <w:rStyle w:val="EndnoteReference"/>
          <w:rFonts w:cs="Arial"/>
          <w:color w:val="222222"/>
          <w:sz w:val="24"/>
          <w:szCs w:val="24"/>
          <w:shd w:val="clear" w:color="auto" w:fill="FFFFFF"/>
        </w:rPr>
        <w:endnoteReference w:id="3"/>
      </w:r>
    </w:p>
    <w:p w:rsidR="00186A9E" w:rsidRDefault="009E24CC" w:rsidP="00FD711C">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186A9E">
        <w:rPr>
          <w:rFonts w:cs="Arial"/>
          <w:color w:val="222222"/>
          <w:sz w:val="24"/>
          <w:szCs w:val="24"/>
          <w:shd w:val="clear" w:color="auto" w:fill="FFFFFF"/>
        </w:rPr>
        <w:t>By undertaking formative and shared assessment, students gain a better understanding on how to judge their own work during the production of it</w:t>
      </w:r>
      <w:r w:rsidR="00186A9E" w:rsidRPr="00186A9E">
        <w:rPr>
          <w:rFonts w:cs="Arial"/>
          <w:color w:val="222222"/>
          <w:sz w:val="24"/>
          <w:szCs w:val="24"/>
          <w:shd w:val="clear" w:color="auto" w:fill="FFFFFF"/>
        </w:rPr>
        <w:t xml:space="preserve">. </w:t>
      </w:r>
      <w:r w:rsidR="00186A9E">
        <w:rPr>
          <w:rStyle w:val="EndnoteReference"/>
          <w:rFonts w:cs="Arial"/>
          <w:color w:val="222222"/>
          <w:sz w:val="24"/>
          <w:szCs w:val="24"/>
          <w:shd w:val="clear" w:color="auto" w:fill="FFFFFF"/>
        </w:rPr>
        <w:endnoteReference w:id="4"/>
      </w:r>
    </w:p>
    <w:p w:rsidR="00DD7867" w:rsidRPr="00186A9E" w:rsidRDefault="009E24CC" w:rsidP="00FD711C">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186A9E">
        <w:rPr>
          <w:rFonts w:cs="Arial"/>
          <w:color w:val="222222"/>
          <w:sz w:val="24"/>
          <w:szCs w:val="24"/>
          <w:shd w:val="clear" w:color="auto" w:fill="FFFFFF"/>
        </w:rPr>
        <w:t xml:space="preserve">As a result of experiencing good formative assessment in a dialogic exchange, students should become more </w:t>
      </w:r>
      <w:r w:rsidR="00186A9E">
        <w:rPr>
          <w:rFonts w:cs="Arial"/>
          <w:color w:val="222222"/>
          <w:sz w:val="24"/>
          <w:szCs w:val="24"/>
          <w:shd w:val="clear" w:color="auto" w:fill="FFFFFF"/>
        </w:rPr>
        <w:t>effective autonomous learners</w:t>
      </w:r>
      <w:r w:rsidR="009D65AE">
        <w:rPr>
          <w:rFonts w:cs="Arial"/>
          <w:color w:val="222222"/>
          <w:sz w:val="24"/>
          <w:szCs w:val="24"/>
          <w:shd w:val="clear" w:color="auto" w:fill="FFFFFF"/>
        </w:rPr>
        <w:t xml:space="preserve">. </w:t>
      </w:r>
      <w:r w:rsidR="009D65AE">
        <w:rPr>
          <w:rStyle w:val="EndnoteReference"/>
          <w:rFonts w:cs="Arial"/>
          <w:color w:val="222222"/>
          <w:sz w:val="24"/>
          <w:szCs w:val="24"/>
          <w:shd w:val="clear" w:color="auto" w:fill="FFFFFF"/>
        </w:rPr>
        <w:endnoteReference w:id="5"/>
      </w:r>
    </w:p>
    <w:p w:rsidR="009E24CC" w:rsidRPr="004E5C99" w:rsidRDefault="00DD7867"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Motivation to participate in assessment activities can sometimes be enhanced by the use of peer review, since students often regard the opinion of their peers as more important than that of their tutors, parents or other people</w:t>
      </w:r>
      <w:r w:rsidR="009D65AE">
        <w:rPr>
          <w:rFonts w:cs="Arial"/>
          <w:color w:val="222222"/>
          <w:sz w:val="24"/>
          <w:szCs w:val="24"/>
          <w:shd w:val="clear" w:color="auto" w:fill="FFFFFF"/>
        </w:rPr>
        <w:t xml:space="preserve">. </w:t>
      </w:r>
      <w:r w:rsidR="009D65AE">
        <w:rPr>
          <w:rStyle w:val="EndnoteReference"/>
          <w:rFonts w:cs="Arial"/>
          <w:color w:val="222222"/>
          <w:sz w:val="24"/>
          <w:szCs w:val="24"/>
          <w:shd w:val="clear" w:color="auto" w:fill="FFFFFF"/>
        </w:rPr>
        <w:endnoteReference w:id="6"/>
      </w:r>
    </w:p>
    <w:p w:rsidR="005C6111" w:rsidRPr="00702E1E" w:rsidRDefault="009E24CC"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Peers, with training, are usually very competent at assessing each other's assessment products, for example presentations, posters, exhibitions and so on.</w:t>
      </w:r>
    </w:p>
    <w:p w:rsidR="009E24CC" w:rsidRPr="004E5C99" w:rsidRDefault="009E24CC"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Where what is being assessed is process rather than outcome, that is to say gauging the individual contributions of members of the group, it is essential to include intra-peer group assessment.</w:t>
      </w:r>
    </w:p>
    <w:p w:rsidR="009E24CC" w:rsidRPr="004E5C99" w:rsidRDefault="009E24CC"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Feedback is the key locus of interaction nowadays between students and the University, at a time when subject content is ubiquitously available.</w:t>
      </w:r>
      <w:r w:rsidR="009D65AE">
        <w:rPr>
          <w:rFonts w:cs="Arial"/>
          <w:color w:val="222222"/>
          <w:sz w:val="24"/>
          <w:szCs w:val="24"/>
          <w:shd w:val="clear" w:color="auto" w:fill="FFFFFF"/>
        </w:rPr>
        <w:t xml:space="preserve"> </w:t>
      </w:r>
      <w:r w:rsidR="009D65AE">
        <w:rPr>
          <w:rStyle w:val="EndnoteReference"/>
          <w:rFonts w:cs="Arial"/>
          <w:color w:val="222222"/>
          <w:sz w:val="24"/>
          <w:szCs w:val="24"/>
          <w:shd w:val="clear" w:color="auto" w:fill="FFFFFF"/>
        </w:rPr>
        <w:endnoteReference w:id="7"/>
      </w:r>
    </w:p>
    <w:p w:rsidR="009E24CC" w:rsidRPr="004E5C99" w:rsidRDefault="009E24CC"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Formative assessment should function to form and shape future behaviour, and involve transformative practice.</w:t>
      </w:r>
    </w:p>
    <w:p w:rsidR="009D65AE" w:rsidRDefault="009E24CC" w:rsidP="002869FF">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9D65AE">
        <w:rPr>
          <w:rFonts w:cs="Arial"/>
          <w:color w:val="222222"/>
          <w:sz w:val="24"/>
          <w:szCs w:val="24"/>
          <w:shd w:val="clear" w:color="auto" w:fill="FFFFFF"/>
        </w:rPr>
        <w:lastRenderedPageBreak/>
        <w:t xml:space="preserve">Formative assessment needs to be a dialogue, that is to say mono-directional information and advice from the tutor to the student is less effective than a conversation in </w:t>
      </w:r>
      <w:r w:rsidR="009D65AE" w:rsidRPr="009D65AE">
        <w:rPr>
          <w:rFonts w:cs="Arial"/>
          <w:color w:val="222222"/>
          <w:sz w:val="24"/>
          <w:szCs w:val="24"/>
          <w:shd w:val="clear" w:color="auto" w:fill="FFFFFF"/>
        </w:rPr>
        <w:t xml:space="preserve">person, on paper or virtually. </w:t>
      </w:r>
      <w:r w:rsidR="009D65AE">
        <w:rPr>
          <w:rStyle w:val="EndnoteReference"/>
          <w:rFonts w:cs="Arial"/>
          <w:color w:val="222222"/>
          <w:sz w:val="24"/>
          <w:szCs w:val="24"/>
          <w:shd w:val="clear" w:color="auto" w:fill="FFFFFF"/>
        </w:rPr>
        <w:endnoteReference w:id="8"/>
      </w:r>
    </w:p>
    <w:p w:rsidR="005C6111" w:rsidRPr="009D65AE" w:rsidRDefault="00025157" w:rsidP="002869FF">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9D65AE">
        <w:rPr>
          <w:rFonts w:cs="Arial"/>
          <w:color w:val="222222"/>
          <w:sz w:val="24"/>
          <w:szCs w:val="24"/>
          <w:shd w:val="clear" w:color="auto" w:fill="FFFFFF"/>
        </w:rPr>
        <w:t>It is possible for students to become more effective as learners if they deve</w:t>
      </w:r>
      <w:r w:rsidR="00990C45" w:rsidRPr="009D65AE">
        <w:rPr>
          <w:rFonts w:cs="Arial"/>
          <w:color w:val="222222"/>
          <w:sz w:val="24"/>
          <w:szCs w:val="24"/>
          <w:shd w:val="clear" w:color="auto" w:fill="FFFFFF"/>
        </w:rPr>
        <w:t>lop</w:t>
      </w:r>
      <w:r w:rsidRPr="009D65AE">
        <w:rPr>
          <w:rFonts w:cs="Arial"/>
          <w:color w:val="222222"/>
          <w:sz w:val="24"/>
          <w:szCs w:val="24"/>
          <w:shd w:val="clear" w:color="auto" w:fill="FFFFFF"/>
        </w:rPr>
        <w:t xml:space="preserve"> advanced assessment literacy</w:t>
      </w:r>
      <w:r w:rsidR="00990C45" w:rsidRPr="009D65AE">
        <w:rPr>
          <w:rFonts w:cs="Arial"/>
          <w:color w:val="222222"/>
          <w:sz w:val="24"/>
          <w:szCs w:val="24"/>
          <w:shd w:val="clear" w:color="auto" w:fill="FFFFFF"/>
        </w:rPr>
        <w:t>,</w:t>
      </w:r>
      <w:r w:rsidRPr="009D65AE">
        <w:rPr>
          <w:rFonts w:cs="Arial"/>
          <w:color w:val="222222"/>
          <w:sz w:val="24"/>
          <w:szCs w:val="24"/>
          <w:shd w:val="clear" w:color="auto" w:fill="FFFFFF"/>
        </w:rPr>
        <w:t xml:space="preserve"> that is, really getting to grips with concepts like criteria, weighting and agency.</w:t>
      </w:r>
      <w:r w:rsidR="009D65AE">
        <w:rPr>
          <w:rFonts w:cs="Arial"/>
          <w:color w:val="222222"/>
          <w:sz w:val="24"/>
          <w:szCs w:val="24"/>
          <w:shd w:val="clear" w:color="auto" w:fill="FFFFFF"/>
        </w:rPr>
        <w:t xml:space="preserve"> </w:t>
      </w:r>
      <w:r w:rsidR="009D65AE">
        <w:rPr>
          <w:rStyle w:val="EndnoteReference"/>
          <w:rFonts w:cs="Arial"/>
          <w:color w:val="222222"/>
          <w:sz w:val="24"/>
          <w:szCs w:val="24"/>
          <w:shd w:val="clear" w:color="auto" w:fill="FFFFFF"/>
        </w:rPr>
        <w:endnoteReference w:id="9"/>
      </w:r>
    </w:p>
    <w:p w:rsidR="005C6111" w:rsidRPr="00702E1E" w:rsidRDefault="00025157"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Assessment literacy is one of the skills that build towards academic literacy: others include digital literacy, information literacy, interpersonal literacy and</w:t>
      </w:r>
      <w:r w:rsidR="00990C45" w:rsidRPr="004E5C99">
        <w:rPr>
          <w:rFonts w:cs="Arial"/>
          <w:color w:val="222222"/>
          <w:sz w:val="24"/>
          <w:szCs w:val="24"/>
          <w:shd w:val="clear" w:color="auto" w:fill="FFFFFF"/>
        </w:rPr>
        <w:t xml:space="preserve"> social literacy.</w:t>
      </w:r>
      <w:r w:rsidR="004E5C99" w:rsidRPr="004E5C99">
        <w:rPr>
          <w:rFonts w:cs="Arial"/>
          <w:color w:val="222222"/>
          <w:sz w:val="24"/>
          <w:szCs w:val="24"/>
          <w:shd w:val="clear" w:color="auto" w:fill="FFFFFF"/>
        </w:rPr>
        <w:t xml:space="preserve"> </w:t>
      </w:r>
      <w:r w:rsidR="009D65AE">
        <w:rPr>
          <w:rStyle w:val="EndnoteReference"/>
          <w:rFonts w:cs="Arial"/>
          <w:color w:val="222222"/>
          <w:sz w:val="24"/>
          <w:szCs w:val="24"/>
          <w:shd w:val="clear" w:color="auto" w:fill="FFFFFF"/>
        </w:rPr>
        <w:endnoteReference w:id="10"/>
      </w:r>
    </w:p>
    <w:p w:rsidR="005C6111" w:rsidRPr="00702E1E" w:rsidRDefault="00025157"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 xml:space="preserve">Learning to use formative assessment constructively is a life skill: </w:t>
      </w:r>
      <w:r w:rsidR="00990C45" w:rsidRPr="004E5C99">
        <w:rPr>
          <w:rFonts w:cs="Arial"/>
          <w:color w:val="222222"/>
          <w:sz w:val="24"/>
          <w:szCs w:val="24"/>
          <w:shd w:val="clear" w:color="auto" w:fill="FFFFFF"/>
        </w:rPr>
        <w:t>such</w:t>
      </w:r>
      <w:r w:rsidRPr="004E5C99">
        <w:rPr>
          <w:rFonts w:cs="Arial"/>
          <w:color w:val="222222"/>
          <w:sz w:val="24"/>
          <w:szCs w:val="24"/>
          <w:shd w:val="clear" w:color="auto" w:fill="FFFFFF"/>
        </w:rPr>
        <w:t xml:space="preserve"> practices and behaviours </w:t>
      </w:r>
      <w:r w:rsidR="00990C45" w:rsidRPr="004E5C99">
        <w:rPr>
          <w:rFonts w:cs="Arial"/>
          <w:color w:val="222222"/>
          <w:sz w:val="24"/>
          <w:szCs w:val="24"/>
          <w:shd w:val="clear" w:color="auto" w:fill="FFFFFF"/>
        </w:rPr>
        <w:t xml:space="preserve">which </w:t>
      </w:r>
      <w:r w:rsidRPr="004E5C99">
        <w:rPr>
          <w:rFonts w:cs="Arial"/>
          <w:color w:val="222222"/>
          <w:sz w:val="24"/>
          <w:szCs w:val="24"/>
          <w:shd w:val="clear" w:color="auto" w:fill="FFFFFF"/>
        </w:rPr>
        <w:t>are learned on how to use feedback to improve effectiveness can be carrie</w:t>
      </w:r>
      <w:r w:rsidR="00990C45" w:rsidRPr="004E5C99">
        <w:rPr>
          <w:rFonts w:cs="Arial"/>
          <w:color w:val="222222"/>
          <w:sz w:val="24"/>
          <w:szCs w:val="24"/>
          <w:shd w:val="clear" w:color="auto" w:fill="FFFFFF"/>
        </w:rPr>
        <w:t>d forward into careers and life-</w:t>
      </w:r>
      <w:r w:rsidRPr="004E5C99">
        <w:rPr>
          <w:rFonts w:cs="Arial"/>
          <w:color w:val="222222"/>
          <w:sz w:val="24"/>
          <w:szCs w:val="24"/>
          <w:shd w:val="clear" w:color="auto" w:fill="FFFFFF"/>
        </w:rPr>
        <w:t>wide capabilities</w:t>
      </w:r>
      <w:r w:rsidR="00990C45" w:rsidRPr="004E5C99">
        <w:rPr>
          <w:rFonts w:cs="Arial"/>
          <w:color w:val="222222"/>
          <w:sz w:val="24"/>
          <w:szCs w:val="24"/>
          <w:shd w:val="clear" w:color="auto" w:fill="FFFFFF"/>
        </w:rPr>
        <w:t>.</w:t>
      </w:r>
      <w:r w:rsidR="009D65AE">
        <w:rPr>
          <w:rFonts w:cs="Arial"/>
          <w:color w:val="222222"/>
          <w:sz w:val="24"/>
          <w:szCs w:val="24"/>
          <w:shd w:val="clear" w:color="auto" w:fill="FFFFFF"/>
        </w:rPr>
        <w:t xml:space="preserve"> </w:t>
      </w:r>
      <w:r w:rsidR="009D65AE">
        <w:rPr>
          <w:rStyle w:val="EndnoteReference"/>
          <w:rFonts w:cs="Arial"/>
          <w:color w:val="222222"/>
          <w:sz w:val="24"/>
          <w:szCs w:val="24"/>
          <w:shd w:val="clear" w:color="auto" w:fill="FFFFFF"/>
        </w:rPr>
        <w:endnoteReference w:id="11"/>
      </w:r>
    </w:p>
    <w:p w:rsidR="005C6111" w:rsidRPr="009D65AE" w:rsidRDefault="00025157" w:rsidP="009D65A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Good formative assessment</w:t>
      </w:r>
      <w:r w:rsidR="009E30FE" w:rsidRPr="004E5C99">
        <w:rPr>
          <w:rFonts w:cs="Arial"/>
          <w:color w:val="222222"/>
          <w:sz w:val="24"/>
          <w:szCs w:val="24"/>
          <w:shd w:val="clear" w:color="auto" w:fill="FFFFFF"/>
        </w:rPr>
        <w:t>s</w:t>
      </w:r>
      <w:r w:rsidRPr="004E5C99">
        <w:rPr>
          <w:rFonts w:cs="Arial"/>
          <w:color w:val="222222"/>
          <w:sz w:val="24"/>
          <w:szCs w:val="24"/>
          <w:shd w:val="clear" w:color="auto" w:fill="FFFFFF"/>
        </w:rPr>
        <w:t xml:space="preserve"> help students buil</w:t>
      </w:r>
      <w:r w:rsidR="009E30FE" w:rsidRPr="004E5C99">
        <w:rPr>
          <w:rFonts w:cs="Arial"/>
          <w:color w:val="222222"/>
          <w:sz w:val="24"/>
          <w:szCs w:val="24"/>
          <w:shd w:val="clear" w:color="auto" w:fill="FFFFFF"/>
        </w:rPr>
        <w:t>d a nuanced</w:t>
      </w:r>
      <w:r w:rsidRPr="004E5C99">
        <w:rPr>
          <w:rFonts w:cs="Arial"/>
          <w:color w:val="222222"/>
          <w:sz w:val="24"/>
          <w:szCs w:val="24"/>
          <w:shd w:val="clear" w:color="auto" w:fill="FFFFFF"/>
        </w:rPr>
        <w:t xml:space="preserve"> view of what is required</w:t>
      </w:r>
      <w:r w:rsidR="009E30FE" w:rsidRPr="004E5C99">
        <w:rPr>
          <w:rFonts w:cs="Arial"/>
          <w:color w:val="222222"/>
          <w:sz w:val="24"/>
          <w:szCs w:val="24"/>
          <w:shd w:val="clear" w:color="auto" w:fill="FFFFFF"/>
        </w:rPr>
        <w:t>,</w:t>
      </w:r>
      <w:r w:rsidRPr="004E5C99">
        <w:rPr>
          <w:rFonts w:cs="Arial"/>
          <w:color w:val="222222"/>
          <w:sz w:val="24"/>
          <w:szCs w:val="24"/>
          <w:shd w:val="clear" w:color="auto" w:fill="FFFFFF"/>
        </w:rPr>
        <w:t xml:space="preserve"> moving away from the concept that something is absolutely right or wrong</w:t>
      </w:r>
      <w:r w:rsidR="009D65AE">
        <w:rPr>
          <w:rFonts w:cs="Arial"/>
          <w:color w:val="222222"/>
          <w:sz w:val="24"/>
          <w:szCs w:val="24"/>
          <w:shd w:val="clear" w:color="auto" w:fill="FFFFFF"/>
        </w:rPr>
        <w:t xml:space="preserve">. </w:t>
      </w:r>
      <w:r w:rsidR="009D65AE">
        <w:rPr>
          <w:rStyle w:val="EndnoteReference"/>
          <w:rFonts w:cs="Arial"/>
          <w:color w:val="222222"/>
          <w:sz w:val="24"/>
          <w:szCs w:val="24"/>
          <w:shd w:val="clear" w:color="auto" w:fill="FFFFFF"/>
        </w:rPr>
        <w:endnoteReference w:id="12"/>
      </w:r>
    </w:p>
    <w:p w:rsidR="005C6111" w:rsidRPr="00702E1E" w:rsidRDefault="00025157"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Through having opportunities to review the work of others through shared/peer assessment</w:t>
      </w:r>
      <w:r w:rsidR="009E30FE" w:rsidRPr="004E5C99">
        <w:rPr>
          <w:rFonts w:cs="Arial"/>
          <w:color w:val="222222"/>
          <w:sz w:val="24"/>
          <w:szCs w:val="24"/>
          <w:shd w:val="clear" w:color="auto" w:fill="FFFFFF"/>
        </w:rPr>
        <w:t>,</w:t>
      </w:r>
      <w:r w:rsidRPr="004E5C99">
        <w:rPr>
          <w:rFonts w:cs="Arial"/>
          <w:color w:val="222222"/>
          <w:sz w:val="24"/>
          <w:szCs w:val="24"/>
          <w:shd w:val="clear" w:color="auto" w:fill="FFFFFF"/>
        </w:rPr>
        <w:t xml:space="preserve"> students can develop conceptual frameworks that underpin good practice</w:t>
      </w:r>
      <w:r w:rsidR="009E30FE" w:rsidRPr="004E5C99">
        <w:rPr>
          <w:rFonts w:cs="Arial"/>
          <w:color w:val="222222"/>
          <w:sz w:val="24"/>
          <w:szCs w:val="24"/>
          <w:shd w:val="clear" w:color="auto" w:fill="FFFFFF"/>
        </w:rPr>
        <w:t>.</w:t>
      </w:r>
    </w:p>
    <w:p w:rsidR="005C6111" w:rsidRPr="00702E1E" w:rsidRDefault="00025157"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Through writing drafts and reviewing them with colleagues</w:t>
      </w:r>
      <w:r w:rsidR="009E30FE" w:rsidRPr="004E5C99">
        <w:rPr>
          <w:rFonts w:cs="Arial"/>
          <w:color w:val="222222"/>
          <w:sz w:val="24"/>
          <w:szCs w:val="24"/>
          <w:shd w:val="clear" w:color="auto" w:fill="FFFFFF"/>
        </w:rPr>
        <w:t>,</w:t>
      </w:r>
      <w:r w:rsidRPr="004E5C99">
        <w:rPr>
          <w:rFonts w:cs="Arial"/>
          <w:color w:val="222222"/>
          <w:sz w:val="24"/>
          <w:szCs w:val="24"/>
          <w:shd w:val="clear" w:color="auto" w:fill="FFFFFF"/>
        </w:rPr>
        <w:t xml:space="preserve"> it is possible for students to recognise the potential for improving their own work</w:t>
      </w:r>
      <w:r w:rsidR="009E30FE" w:rsidRPr="004E5C99">
        <w:rPr>
          <w:rFonts w:cs="Arial"/>
          <w:color w:val="222222"/>
          <w:sz w:val="24"/>
          <w:szCs w:val="24"/>
          <w:shd w:val="clear" w:color="auto" w:fill="FFFFFF"/>
        </w:rPr>
        <w:t>,</w:t>
      </w:r>
      <w:r w:rsidRPr="004E5C99">
        <w:rPr>
          <w:rFonts w:cs="Arial"/>
          <w:color w:val="222222"/>
          <w:sz w:val="24"/>
          <w:szCs w:val="24"/>
          <w:shd w:val="clear" w:color="auto" w:fill="FFFFFF"/>
        </w:rPr>
        <w:t xml:space="preserve"> whereas too many students think writing a first draft is sufficient</w:t>
      </w:r>
      <w:r w:rsidR="00D754B1">
        <w:rPr>
          <w:rFonts w:cs="Arial"/>
          <w:color w:val="222222"/>
          <w:sz w:val="24"/>
          <w:szCs w:val="24"/>
          <w:shd w:val="clear" w:color="auto" w:fill="FFFFFF"/>
        </w:rPr>
        <w:t xml:space="preserve">. </w:t>
      </w:r>
      <w:r w:rsidR="00D754B1">
        <w:rPr>
          <w:rStyle w:val="EndnoteReference"/>
          <w:rFonts w:cs="Arial"/>
          <w:color w:val="222222"/>
          <w:sz w:val="24"/>
          <w:szCs w:val="24"/>
          <w:shd w:val="clear" w:color="auto" w:fill="FFFFFF"/>
        </w:rPr>
        <w:endnoteReference w:id="13"/>
      </w:r>
    </w:p>
    <w:p w:rsidR="005C6111" w:rsidRPr="00702E1E" w:rsidRDefault="00025157"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 xml:space="preserve">When assessing practical skills, there is substantial benefit in engaging </w:t>
      </w:r>
      <w:r w:rsidR="009E30FE" w:rsidRPr="004E5C99">
        <w:rPr>
          <w:rFonts w:cs="Arial"/>
          <w:color w:val="222222"/>
          <w:sz w:val="24"/>
          <w:szCs w:val="24"/>
          <w:shd w:val="clear" w:color="auto" w:fill="FFFFFF"/>
        </w:rPr>
        <w:t>peers</w:t>
      </w:r>
      <w:r w:rsidRPr="004E5C99">
        <w:rPr>
          <w:rFonts w:cs="Arial"/>
          <w:color w:val="222222"/>
          <w:sz w:val="24"/>
          <w:szCs w:val="24"/>
          <w:shd w:val="clear" w:color="auto" w:fill="FFFFFF"/>
        </w:rPr>
        <w:t xml:space="preserve"> in shared assessment</w:t>
      </w:r>
      <w:r w:rsidR="009E30FE" w:rsidRPr="004E5C99">
        <w:rPr>
          <w:rFonts w:cs="Arial"/>
          <w:color w:val="222222"/>
          <w:sz w:val="24"/>
          <w:szCs w:val="24"/>
          <w:shd w:val="clear" w:color="auto" w:fill="FFFFFF"/>
        </w:rPr>
        <w:t>,</w:t>
      </w:r>
      <w:r w:rsidRPr="004E5C99">
        <w:rPr>
          <w:rFonts w:cs="Arial"/>
          <w:color w:val="222222"/>
          <w:sz w:val="24"/>
          <w:szCs w:val="24"/>
          <w:shd w:val="clear" w:color="auto" w:fill="FFFFFF"/>
        </w:rPr>
        <w:t xml:space="preserve"> as they lear</w:t>
      </w:r>
      <w:r w:rsidR="00702E1E">
        <w:rPr>
          <w:rFonts w:cs="Arial"/>
          <w:color w:val="222222"/>
          <w:sz w:val="24"/>
          <w:szCs w:val="24"/>
          <w:shd w:val="clear" w:color="auto" w:fill="FFFFFF"/>
        </w:rPr>
        <w:t>n by evaluating each other and </w:t>
      </w:r>
      <w:r w:rsidRPr="004E5C99">
        <w:rPr>
          <w:rFonts w:cs="Arial"/>
          <w:color w:val="222222"/>
          <w:sz w:val="24"/>
          <w:szCs w:val="24"/>
          <w:shd w:val="clear" w:color="auto" w:fill="FFFFFF"/>
        </w:rPr>
        <w:t>hence improve their own skills</w:t>
      </w:r>
      <w:r w:rsidR="00D754B1">
        <w:rPr>
          <w:rFonts w:cs="Arial"/>
          <w:color w:val="222222"/>
          <w:sz w:val="24"/>
          <w:szCs w:val="24"/>
          <w:shd w:val="clear" w:color="auto" w:fill="FFFFFF"/>
        </w:rPr>
        <w:t xml:space="preserve">. </w:t>
      </w:r>
      <w:r w:rsidR="00D754B1">
        <w:rPr>
          <w:rStyle w:val="EndnoteReference"/>
          <w:rFonts w:cs="Arial"/>
          <w:color w:val="222222"/>
          <w:sz w:val="24"/>
          <w:szCs w:val="24"/>
          <w:shd w:val="clear" w:color="auto" w:fill="FFFFFF"/>
        </w:rPr>
        <w:endnoteReference w:id="14"/>
      </w:r>
    </w:p>
    <w:p w:rsidR="00F807C8" w:rsidRDefault="00025157" w:rsidP="00702E1E">
      <w:pPr>
        <w:pStyle w:val="ListParagraph"/>
        <w:numPr>
          <w:ilvl w:val="0"/>
          <w:numId w:val="1"/>
        </w:numPr>
        <w:spacing w:after="120" w:line="276" w:lineRule="auto"/>
        <w:ind w:left="567" w:hanging="546"/>
        <w:contextualSpacing w:val="0"/>
        <w:rPr>
          <w:rFonts w:cs="Arial"/>
          <w:color w:val="222222"/>
          <w:sz w:val="24"/>
          <w:szCs w:val="24"/>
          <w:shd w:val="clear" w:color="auto" w:fill="FFFFFF"/>
        </w:rPr>
      </w:pPr>
      <w:r w:rsidRPr="004E5C99">
        <w:rPr>
          <w:rFonts w:cs="Arial"/>
          <w:color w:val="222222"/>
          <w:sz w:val="24"/>
          <w:szCs w:val="24"/>
          <w:shd w:val="clear" w:color="auto" w:fill="FFFFFF"/>
        </w:rPr>
        <w:t>Enhanced digital capabilities for assessment make it possible for students to work iteratively through a program, receiving feedback on initial attempts and s</w:t>
      </w:r>
      <w:r w:rsidR="009E30FE" w:rsidRPr="004E5C99">
        <w:rPr>
          <w:rFonts w:cs="Arial"/>
          <w:color w:val="222222"/>
          <w:sz w:val="24"/>
          <w:szCs w:val="24"/>
          <w:shd w:val="clear" w:color="auto" w:fill="FFFFFF"/>
        </w:rPr>
        <w:t>triving towards continuous self-</w:t>
      </w:r>
      <w:r w:rsidRPr="004E5C99">
        <w:rPr>
          <w:rFonts w:cs="Arial"/>
          <w:color w:val="222222"/>
          <w:sz w:val="24"/>
          <w:szCs w:val="24"/>
          <w:shd w:val="clear" w:color="auto" w:fill="FFFFFF"/>
        </w:rPr>
        <w:t>improvement</w:t>
      </w:r>
      <w:r w:rsidR="00D754B1">
        <w:rPr>
          <w:rFonts w:cs="Arial"/>
          <w:color w:val="222222"/>
          <w:sz w:val="24"/>
          <w:szCs w:val="24"/>
          <w:shd w:val="clear" w:color="auto" w:fill="FFFFFF"/>
        </w:rPr>
        <w:t xml:space="preserve">. </w:t>
      </w:r>
      <w:r w:rsidR="00D754B1">
        <w:rPr>
          <w:rStyle w:val="EndnoteReference"/>
          <w:rFonts w:cs="Arial"/>
          <w:color w:val="222222"/>
          <w:sz w:val="24"/>
          <w:szCs w:val="24"/>
          <w:shd w:val="clear" w:color="auto" w:fill="FFFFFF"/>
        </w:rPr>
        <w:endnoteReference w:id="15"/>
      </w:r>
    </w:p>
    <w:p w:rsidR="00F807C8" w:rsidRDefault="00F807C8">
      <w:pPr>
        <w:rPr>
          <w:b/>
          <w:bCs/>
          <w:sz w:val="28"/>
        </w:rPr>
      </w:pPr>
      <w:r>
        <w:rPr>
          <w:b/>
          <w:bCs/>
          <w:sz w:val="28"/>
        </w:rPr>
        <w:br w:type="page"/>
      </w:r>
    </w:p>
    <w:p w:rsidR="00F807C8" w:rsidRPr="002C0D81" w:rsidRDefault="00D754B1" w:rsidP="00F807C8">
      <w:pPr>
        <w:spacing w:after="120"/>
        <w:ind w:left="567" w:hanging="567"/>
        <w:rPr>
          <w:b/>
          <w:bCs/>
          <w:sz w:val="28"/>
        </w:rPr>
      </w:pPr>
      <w:r>
        <w:rPr>
          <w:b/>
          <w:bCs/>
          <w:sz w:val="28"/>
        </w:rPr>
        <w:lastRenderedPageBreak/>
        <w:t xml:space="preserve">Wider Assessment </w:t>
      </w:r>
      <w:bookmarkStart w:id="0" w:name="_GoBack"/>
      <w:bookmarkEnd w:id="0"/>
      <w:r w:rsidR="00F807C8">
        <w:rPr>
          <w:b/>
          <w:bCs/>
          <w:sz w:val="28"/>
        </w:rPr>
        <w:t>References</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Assessment for Learning: </w:t>
      </w:r>
      <w:hyperlink r:id="rId7" w:history="1">
        <w:r w:rsidRPr="00F807C8">
          <w:rPr>
            <w:rFonts w:cstheme="minorHAnsi"/>
            <w:bCs/>
            <w:color w:val="0563C1" w:themeColor="hyperlink"/>
            <w:u w:val="single"/>
          </w:rPr>
          <w:t>http://www.northumbria.ac.uk/sd/central/ar/academy/cetl_afl/</w:t>
        </w:r>
      </w:hyperlink>
    </w:p>
    <w:p w:rsidR="00F807C8" w:rsidRPr="00F807C8" w:rsidRDefault="00F807C8" w:rsidP="00F807C8">
      <w:pPr>
        <w:spacing w:after="120"/>
        <w:ind w:left="567" w:hanging="567"/>
      </w:pPr>
      <w:r w:rsidRPr="00F807C8">
        <w:rPr>
          <w:bCs/>
        </w:rPr>
        <w:t>Biggs,</w:t>
      </w:r>
      <w:r w:rsidR="00186A9E">
        <w:rPr>
          <w:bCs/>
        </w:rPr>
        <w:t xml:space="preserve"> </w:t>
      </w:r>
      <w:r w:rsidRPr="00F807C8">
        <w:rPr>
          <w:bCs/>
        </w:rPr>
        <w:t xml:space="preserve">J. and Tang, C. (2011) </w:t>
      </w:r>
      <w:r w:rsidRPr="00F807C8">
        <w:rPr>
          <w:bCs/>
          <w:i/>
          <w:iCs/>
        </w:rPr>
        <w:t>Teaching for Quality Learning at University: 4</w:t>
      </w:r>
      <w:r w:rsidRPr="00F807C8">
        <w:rPr>
          <w:bCs/>
          <w:i/>
          <w:iCs/>
          <w:vertAlign w:val="superscript"/>
        </w:rPr>
        <w:t>th</w:t>
      </w:r>
      <w:r w:rsidRPr="00F807C8">
        <w:rPr>
          <w:bCs/>
          <w:i/>
          <w:iCs/>
        </w:rPr>
        <w:t xml:space="preserve"> edition</w:t>
      </w:r>
      <w:r w:rsidRPr="00F807C8">
        <w:rPr>
          <w:bCs/>
        </w:rPr>
        <w:t>, Maidenhead: SRHE/Open University Press.</w:t>
      </w:r>
    </w:p>
    <w:p w:rsidR="00F807C8" w:rsidRPr="00F807C8" w:rsidRDefault="00F807C8" w:rsidP="00F807C8">
      <w:pPr>
        <w:spacing w:after="120"/>
        <w:ind w:left="567" w:hanging="567"/>
        <w:rPr>
          <w:rFonts w:cstheme="minorHAnsi"/>
          <w:bCs/>
        </w:rPr>
      </w:pPr>
      <w:r w:rsidRPr="00F807C8">
        <w:rPr>
          <w:rFonts w:cs="Arial"/>
          <w:shd w:val="clear" w:color="auto" w:fill="FFFFFF"/>
        </w:rPr>
        <w:t>Bloxham, S., &amp; Boyd, P. (2007).</w:t>
      </w:r>
      <w:r w:rsidRPr="00F807C8">
        <w:rPr>
          <w:rStyle w:val="apple-converted-space"/>
          <w:rFonts w:cs="Arial"/>
          <w:shd w:val="clear" w:color="auto" w:fill="FFFFFF"/>
        </w:rPr>
        <w:t> </w:t>
      </w:r>
      <w:r w:rsidRPr="00F807C8">
        <w:rPr>
          <w:rFonts w:cs="Arial"/>
          <w:i/>
          <w:iCs/>
          <w:shd w:val="clear" w:color="auto" w:fill="FFFFFF"/>
        </w:rPr>
        <w:t>Developing Effective Assessment In Higher Education: A Practical Guide: A Practical Guide</w:t>
      </w:r>
      <w:r w:rsidRPr="00F807C8">
        <w:rPr>
          <w:rFonts w:cs="Arial"/>
          <w:shd w:val="clear" w:color="auto" w:fill="FFFFFF"/>
        </w:rPr>
        <w:t>. McGraw-Hill International.</w:t>
      </w:r>
      <w:r w:rsidRPr="00F807C8">
        <w:rPr>
          <w:rFonts w:cstheme="minorHAnsi"/>
          <w:bCs/>
        </w:rPr>
        <w:t xml:space="preserve"> </w:t>
      </w:r>
    </w:p>
    <w:p w:rsidR="00F807C8" w:rsidRPr="00F807C8" w:rsidRDefault="00712546" w:rsidP="00F807C8">
      <w:pPr>
        <w:spacing w:after="120"/>
        <w:ind w:left="567" w:hanging="567"/>
        <w:contextualSpacing/>
      </w:pPr>
      <w:hyperlink r:id="rId8" w:history="1">
        <w:r w:rsidR="00F807C8" w:rsidRPr="00F807C8">
          <w:t>Boud, D</w:t>
        </w:r>
      </w:hyperlink>
      <w:r w:rsidR="00F807C8" w:rsidRPr="00F807C8">
        <w:t>.</w:t>
      </w:r>
      <w:r w:rsidR="00F807C8" w:rsidRPr="00F807C8">
        <w:rPr>
          <w:rFonts w:eastAsia="Arial Unicode MS"/>
        </w:rPr>
        <w:t xml:space="preserve"> (</w:t>
      </w:r>
      <w:r w:rsidR="00F807C8" w:rsidRPr="00F807C8">
        <w:t xml:space="preserve">1988) (ed.) </w:t>
      </w:r>
      <w:r w:rsidR="00F807C8" w:rsidRPr="00F807C8">
        <w:rPr>
          <w:i/>
          <w:iCs/>
        </w:rPr>
        <w:t>Developing student autonomy in learning</w:t>
      </w:r>
      <w:r w:rsidR="00F807C8" w:rsidRPr="00F807C8">
        <w:t xml:space="preserve">, </w:t>
      </w:r>
      <w:r w:rsidR="00F807C8" w:rsidRPr="00F807C8">
        <w:rPr>
          <w:i/>
        </w:rPr>
        <w:t>second edition</w:t>
      </w:r>
      <w:r w:rsidR="00F807C8" w:rsidRPr="00F807C8">
        <w:t>,</w:t>
      </w:r>
      <w:r w:rsidR="00F807C8" w:rsidRPr="00F807C8">
        <w:rPr>
          <w:rFonts w:eastAsia="Arial Unicode MS"/>
        </w:rPr>
        <w:t xml:space="preserve"> </w:t>
      </w:r>
      <w:r w:rsidR="00F807C8" w:rsidRPr="00F807C8">
        <w:t>London: Kogan Page.</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Boud, D. (1995) </w:t>
      </w:r>
      <w:r w:rsidRPr="00F807C8">
        <w:rPr>
          <w:rFonts w:cstheme="minorHAnsi"/>
          <w:bCs/>
          <w:i/>
          <w:iCs/>
          <w:color w:val="000000"/>
        </w:rPr>
        <w:t>Enhancing learning through self-assessment</w:t>
      </w:r>
      <w:r w:rsidRPr="00F807C8">
        <w:rPr>
          <w:rFonts w:cstheme="minorHAnsi"/>
          <w:bCs/>
          <w:color w:val="000000"/>
        </w:rPr>
        <w:t>, Abingdon: Routledge.</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Boud, D. (2007) Reframing assessment as if learning were important. </w:t>
      </w:r>
      <w:r w:rsidRPr="00F807C8">
        <w:rPr>
          <w:rFonts w:cstheme="minorHAnsi"/>
          <w:bCs/>
          <w:i/>
          <w:iCs/>
          <w:color w:val="000000"/>
        </w:rPr>
        <w:t>Rethinking assessment in higher education: Learning for the longer term</w:t>
      </w:r>
      <w:r w:rsidRPr="00F807C8">
        <w:rPr>
          <w:rFonts w:cstheme="minorHAnsi"/>
          <w:bCs/>
          <w:color w:val="000000"/>
        </w:rPr>
        <w:t>, 14-25.</w:t>
      </w:r>
    </w:p>
    <w:p w:rsidR="00F807C8" w:rsidRPr="00F807C8" w:rsidRDefault="00712546" w:rsidP="00F807C8">
      <w:pPr>
        <w:spacing w:after="120"/>
        <w:ind w:left="567" w:hanging="567"/>
        <w:contextualSpacing/>
      </w:pPr>
      <w:hyperlink r:id="rId9" w:history="1">
        <w:r w:rsidR="00F807C8" w:rsidRPr="00F807C8">
          <w:t>Boud, D</w:t>
        </w:r>
      </w:hyperlink>
      <w:r w:rsidR="00F807C8" w:rsidRPr="00F807C8">
        <w:t>.</w:t>
      </w:r>
      <w:r w:rsidR="00F807C8" w:rsidRPr="00F807C8">
        <w:rPr>
          <w:rFonts w:eastAsia="Arial Unicode MS"/>
        </w:rPr>
        <w:t xml:space="preserve"> </w:t>
      </w:r>
      <w:r w:rsidR="00F807C8" w:rsidRPr="00F807C8">
        <w:t xml:space="preserve">1988 (ed.) </w:t>
      </w:r>
      <w:r w:rsidR="00F807C8" w:rsidRPr="00F807C8">
        <w:rPr>
          <w:i/>
          <w:iCs/>
        </w:rPr>
        <w:t>Developing student autonomy in learning</w:t>
      </w:r>
      <w:r w:rsidR="00F807C8" w:rsidRPr="00F807C8">
        <w:t>, second edition,</w:t>
      </w:r>
      <w:r w:rsidR="00F807C8" w:rsidRPr="00F807C8">
        <w:rPr>
          <w:rFonts w:eastAsia="Arial Unicode MS"/>
        </w:rPr>
        <w:t xml:space="preserve"> </w:t>
      </w:r>
      <w:r w:rsidR="00F807C8" w:rsidRPr="00F807C8">
        <w:t>London: Kogan Page.</w:t>
      </w:r>
    </w:p>
    <w:p w:rsidR="00F807C8" w:rsidRPr="00F807C8" w:rsidRDefault="00F807C8" w:rsidP="00F807C8">
      <w:pPr>
        <w:spacing w:after="120"/>
        <w:ind w:left="567" w:hanging="567"/>
        <w:rPr>
          <w:rFonts w:cstheme="minorHAnsi"/>
          <w:bCs/>
          <w:color w:val="000000"/>
          <w:lang w:val="en-US"/>
        </w:rPr>
      </w:pPr>
      <w:r w:rsidRPr="00F807C8">
        <w:rPr>
          <w:rFonts w:cstheme="minorHAnsi"/>
          <w:bCs/>
          <w:color w:val="000000"/>
        </w:rPr>
        <w:t xml:space="preserve">Boud, D. and Associates (2010). </w:t>
      </w:r>
      <w:r w:rsidRPr="00F807C8">
        <w:rPr>
          <w:rFonts w:cstheme="minorHAnsi"/>
          <w:bCs/>
          <w:i/>
          <w:color w:val="000000"/>
        </w:rPr>
        <w:t>Assessment 2020: Seven propositions for assessment reform in higher education</w:t>
      </w:r>
      <w:r w:rsidRPr="00F807C8">
        <w:rPr>
          <w:rFonts w:cstheme="minorHAnsi"/>
          <w:bCs/>
          <w:color w:val="000000"/>
        </w:rPr>
        <w:t>, Sydney: Australian Learning and Teaching Council.</w:t>
      </w:r>
    </w:p>
    <w:p w:rsidR="00F807C8" w:rsidRPr="00F807C8" w:rsidRDefault="00F807C8" w:rsidP="00F807C8">
      <w:pPr>
        <w:tabs>
          <w:tab w:val="left" w:pos="454"/>
        </w:tabs>
        <w:suppressAutoHyphens/>
        <w:spacing w:after="120"/>
        <w:ind w:left="567" w:hanging="567"/>
        <w:contextualSpacing/>
        <w:rPr>
          <w:rFonts w:cs="Arial"/>
        </w:rPr>
      </w:pPr>
      <w:r w:rsidRPr="00F807C8">
        <w:rPr>
          <w:rFonts w:cs="Arial"/>
        </w:rPr>
        <w:t xml:space="preserve">Brown S. and Joughin, G. (2007) </w:t>
      </w:r>
      <w:r w:rsidRPr="00F807C8">
        <w:rPr>
          <w:rFonts w:cs="Arial"/>
          <w:i/>
        </w:rPr>
        <w:t>Assessing international students: Helping clarify puzzling processes</w:t>
      </w:r>
      <w:r w:rsidRPr="00F807C8">
        <w:rPr>
          <w:rFonts w:cs="Arial"/>
        </w:rPr>
        <w:t xml:space="preserve">, in </w:t>
      </w:r>
      <w:r w:rsidRPr="00F807C8">
        <w:rPr>
          <w:rFonts w:cs="Arial"/>
          <w:i/>
        </w:rPr>
        <w:t>Internationalising Higher education</w:t>
      </w:r>
      <w:r w:rsidRPr="00F807C8">
        <w:rPr>
          <w:rFonts w:cs="Arial"/>
        </w:rPr>
        <w:t xml:space="preserve"> (Eds. Brown, S, and Jones, E,), London: Routledge. </w:t>
      </w:r>
    </w:p>
    <w:p w:rsidR="00F807C8" w:rsidRPr="00F807C8" w:rsidRDefault="00F807C8" w:rsidP="00F807C8">
      <w:pPr>
        <w:tabs>
          <w:tab w:val="left" w:pos="454"/>
        </w:tabs>
        <w:suppressAutoHyphens/>
        <w:spacing w:after="120"/>
        <w:ind w:left="567" w:hanging="567"/>
        <w:contextualSpacing/>
        <w:rPr>
          <w:rFonts w:cs="Arial"/>
          <w:color w:val="000000"/>
          <w:shd w:val="clear" w:color="auto" w:fill="FFFFFF"/>
        </w:rPr>
      </w:pPr>
      <w:r w:rsidRPr="00F807C8">
        <w:rPr>
          <w:color w:val="000000"/>
        </w:rPr>
        <w:t xml:space="preserve">Brown, S. (2015) </w:t>
      </w:r>
      <w:r w:rsidRPr="00F807C8">
        <w:rPr>
          <w:rFonts w:cs="Arial"/>
          <w:i/>
          <w:color w:val="000000"/>
          <w:shd w:val="clear" w:color="auto" w:fill="FFFFFF"/>
        </w:rPr>
        <w:t xml:space="preserve">Learning, teaching and assessment in higher education: global perspectives, </w:t>
      </w:r>
      <w:r w:rsidRPr="00F807C8">
        <w:rPr>
          <w:rFonts w:cs="Arial"/>
          <w:color w:val="000000"/>
          <w:shd w:val="clear" w:color="auto" w:fill="FFFFFF"/>
        </w:rPr>
        <w:t>London: Palgrave-MacMillan.</w:t>
      </w:r>
    </w:p>
    <w:p w:rsidR="00F807C8" w:rsidRPr="00F807C8" w:rsidRDefault="00F807C8" w:rsidP="00F807C8">
      <w:pPr>
        <w:spacing w:after="120"/>
        <w:ind w:left="567" w:hanging="567"/>
      </w:pPr>
      <w:r w:rsidRPr="00F807C8">
        <w:rPr>
          <w:bCs/>
        </w:rPr>
        <w:t xml:space="preserve">Brown, S. and Glasner, A. (eds.) (1999) </w:t>
      </w:r>
      <w:r w:rsidRPr="00F807C8">
        <w:rPr>
          <w:bCs/>
          <w:i/>
          <w:iCs/>
        </w:rPr>
        <w:t>Assessment Matters in Higher Education, Choosing and Using Diverse Approaches,</w:t>
      </w:r>
      <w:r w:rsidRPr="00F807C8">
        <w:rPr>
          <w:bCs/>
        </w:rPr>
        <w:t xml:space="preserve"> Buckingham: Open University Press.</w:t>
      </w:r>
    </w:p>
    <w:p w:rsidR="00F807C8" w:rsidRPr="00F807C8" w:rsidRDefault="00F807C8" w:rsidP="00F807C8">
      <w:pPr>
        <w:spacing w:after="120"/>
        <w:ind w:left="567" w:hanging="567"/>
      </w:pPr>
      <w:r w:rsidRPr="00F807C8">
        <w:rPr>
          <w:bCs/>
        </w:rPr>
        <w:t xml:space="preserve">Brown, S. and Knight, P. (1994) </w:t>
      </w:r>
      <w:r w:rsidRPr="00F807C8">
        <w:rPr>
          <w:bCs/>
          <w:i/>
          <w:iCs/>
        </w:rPr>
        <w:t>Assessing Learners in Higher Education,</w:t>
      </w:r>
      <w:r w:rsidRPr="00F807C8">
        <w:rPr>
          <w:bCs/>
        </w:rPr>
        <w:t xml:space="preserve"> London: Kogan Page.</w:t>
      </w:r>
    </w:p>
    <w:p w:rsidR="00F807C8" w:rsidRPr="00F807C8" w:rsidRDefault="00F807C8" w:rsidP="00F807C8">
      <w:pPr>
        <w:spacing w:after="120"/>
        <w:ind w:left="567" w:hanging="567"/>
        <w:contextualSpacing/>
        <w:rPr>
          <w:rFonts w:cstheme="minorHAnsi"/>
          <w:bCs/>
          <w:color w:val="000000"/>
        </w:rPr>
      </w:pPr>
      <w:r w:rsidRPr="00F807C8">
        <w:rPr>
          <w:rFonts w:cstheme="minorHAnsi"/>
          <w:bCs/>
          <w:color w:val="000000"/>
        </w:rPr>
        <w:t xml:space="preserve">Brown, S. and Race, P. (2012) </w:t>
      </w:r>
      <w:r w:rsidRPr="00F807C8">
        <w:rPr>
          <w:rFonts w:cstheme="minorHAnsi"/>
          <w:bCs/>
          <w:i/>
          <w:color w:val="000000"/>
        </w:rPr>
        <w:t>Using effective assessment to promote learning,</w:t>
      </w:r>
      <w:r w:rsidRPr="00F807C8">
        <w:rPr>
          <w:rFonts w:cstheme="minorHAnsi"/>
          <w:bCs/>
          <w:color w:val="000000"/>
        </w:rPr>
        <w:t xml:space="preserve"> in Hunt, L and Chalmers, D. </w:t>
      </w:r>
      <w:r w:rsidRPr="00F807C8">
        <w:rPr>
          <w:rFonts w:cstheme="minorHAnsi"/>
          <w:bCs/>
          <w:i/>
          <w:iCs/>
          <w:color w:val="000000"/>
        </w:rPr>
        <w:t>University Teaching in Focus: a learning-centred approach</w:t>
      </w:r>
      <w:r w:rsidRPr="00F807C8">
        <w:rPr>
          <w:rFonts w:cstheme="minorHAnsi"/>
          <w:bCs/>
          <w:color w:val="000000"/>
        </w:rPr>
        <w:t xml:space="preserve">, </w:t>
      </w:r>
      <w:r w:rsidRPr="00F807C8">
        <w:rPr>
          <w:bCs/>
          <w:iCs/>
        </w:rPr>
        <w:t xml:space="preserve">Victoria, Australia, Acer Press, and </w:t>
      </w:r>
      <w:r w:rsidRPr="00F807C8">
        <w:rPr>
          <w:rFonts w:cstheme="minorHAnsi"/>
          <w:bCs/>
          <w:color w:val="000000"/>
        </w:rPr>
        <w:t>Abingdon: Routledge.</w:t>
      </w:r>
    </w:p>
    <w:p w:rsidR="00F807C8" w:rsidRPr="00F807C8" w:rsidRDefault="00F807C8" w:rsidP="00F807C8">
      <w:pPr>
        <w:spacing w:after="120"/>
        <w:ind w:left="567" w:hanging="567"/>
      </w:pPr>
      <w:r w:rsidRPr="00F807C8">
        <w:rPr>
          <w:bCs/>
        </w:rPr>
        <w:t xml:space="preserve">Brown, S., Rust, C. and Gibbs, G. (1994) </w:t>
      </w:r>
      <w:r w:rsidRPr="00F807C8">
        <w:rPr>
          <w:bCs/>
          <w:i/>
          <w:iCs/>
        </w:rPr>
        <w:t>Strategies for Diversifying Assessment,</w:t>
      </w:r>
      <w:r w:rsidRPr="00F807C8">
        <w:rPr>
          <w:bCs/>
        </w:rPr>
        <w:t xml:space="preserve"> Oxford: Oxford Centre for Staff Development. </w:t>
      </w:r>
    </w:p>
    <w:p w:rsidR="00F807C8" w:rsidRPr="00F807C8" w:rsidRDefault="00F807C8" w:rsidP="00F807C8">
      <w:pPr>
        <w:spacing w:after="120"/>
        <w:ind w:left="567" w:hanging="567"/>
      </w:pPr>
      <w:r w:rsidRPr="00F807C8">
        <w:rPr>
          <w:bCs/>
          <w:lang w:val="en-US"/>
        </w:rPr>
        <w:t xml:space="preserve">Carless, D., Joughin, G., and Ngar-Fun L. (2006) </w:t>
      </w:r>
      <w:r w:rsidRPr="00F807C8">
        <w:rPr>
          <w:bCs/>
          <w:i/>
          <w:iCs/>
          <w:lang w:val="en-US"/>
        </w:rPr>
        <w:t xml:space="preserve">How Assessment supports learning: Learning orientated assessment in action, </w:t>
      </w:r>
      <w:r w:rsidRPr="00F807C8">
        <w:rPr>
          <w:bCs/>
          <w:lang w:val="en-US"/>
        </w:rPr>
        <w:t>Hong Kong: Hong Kong University Press.</w:t>
      </w:r>
    </w:p>
    <w:p w:rsidR="00F807C8" w:rsidRPr="00F807C8" w:rsidRDefault="00F807C8" w:rsidP="00F807C8">
      <w:pPr>
        <w:spacing w:after="120"/>
        <w:ind w:left="567" w:hanging="567"/>
        <w:rPr>
          <w:rFonts w:cstheme="minorHAnsi"/>
          <w:bCs/>
          <w:color w:val="000000"/>
        </w:rPr>
      </w:pPr>
      <w:r w:rsidRPr="00F807C8">
        <w:rPr>
          <w:rFonts w:cstheme="minorHAnsi"/>
          <w:bCs/>
          <w:color w:val="000000"/>
        </w:rPr>
        <w:t>Carroll, J. (2002)</w:t>
      </w:r>
      <w:r w:rsidR="00186A9E">
        <w:rPr>
          <w:rFonts w:cstheme="minorHAnsi"/>
          <w:bCs/>
          <w:color w:val="000000"/>
        </w:rPr>
        <w:t xml:space="preserve"> </w:t>
      </w:r>
      <w:r w:rsidRPr="00F807C8">
        <w:rPr>
          <w:rFonts w:cstheme="minorHAnsi"/>
          <w:bCs/>
          <w:i/>
          <w:iCs/>
          <w:color w:val="000000"/>
        </w:rPr>
        <w:t>A handbook for deterring plagiarism in higher education</w:t>
      </w:r>
      <w:r w:rsidRPr="00F807C8">
        <w:rPr>
          <w:rFonts w:cstheme="minorHAnsi"/>
          <w:bCs/>
          <w:color w:val="000000"/>
        </w:rPr>
        <w:t>, Oxford:</w:t>
      </w:r>
      <w:r w:rsidR="00186A9E">
        <w:rPr>
          <w:rFonts w:cstheme="minorHAnsi"/>
          <w:bCs/>
          <w:color w:val="000000"/>
        </w:rPr>
        <w:t xml:space="preserve"> </w:t>
      </w:r>
      <w:r w:rsidRPr="00F807C8">
        <w:rPr>
          <w:rFonts w:cstheme="minorHAnsi"/>
          <w:bCs/>
          <w:color w:val="000000"/>
        </w:rPr>
        <w:t>Oxford Centre for Staff and Learning Development.</w:t>
      </w:r>
    </w:p>
    <w:p w:rsidR="00F807C8" w:rsidRPr="00F807C8" w:rsidRDefault="00F807C8" w:rsidP="00F807C8">
      <w:pPr>
        <w:spacing w:after="120"/>
        <w:ind w:left="567" w:hanging="567"/>
        <w:contextualSpacing/>
        <w:rPr>
          <w:rFonts w:eastAsia="Times New Roman"/>
        </w:rPr>
      </w:pPr>
      <w:r w:rsidRPr="00F807C8">
        <w:rPr>
          <w:rFonts w:eastAsia="Times New Roman"/>
        </w:rPr>
        <w:t xml:space="preserve">Cowie, B. and Bell, B. (1999) A model for formative assessment, </w:t>
      </w:r>
      <w:r w:rsidRPr="00F807C8">
        <w:rPr>
          <w:rFonts w:eastAsia="Times New Roman"/>
          <w:i/>
        </w:rPr>
        <w:t xml:space="preserve">Assessment in Education </w:t>
      </w:r>
      <w:r w:rsidRPr="00F807C8">
        <w:rPr>
          <w:rFonts w:eastAsia="Times New Roman"/>
        </w:rPr>
        <w:t>6(1): 101–116.</w:t>
      </w:r>
    </w:p>
    <w:p w:rsidR="00F807C8" w:rsidRPr="00F807C8" w:rsidRDefault="00F807C8" w:rsidP="00F807C8">
      <w:pPr>
        <w:spacing w:after="120"/>
        <w:ind w:left="567" w:right="269" w:hanging="567"/>
        <w:contextualSpacing/>
        <w:rPr>
          <w:rFonts w:eastAsia="Times New Roman"/>
        </w:rPr>
      </w:pPr>
      <w:r w:rsidRPr="00F807C8">
        <w:rPr>
          <w:rFonts w:eastAsia="Times New Roman"/>
        </w:rPr>
        <w:t xml:space="preserve">Dunn, L., Morgan, C., O’Reilly, M. and Parry, S. (2004) </w:t>
      </w:r>
      <w:r w:rsidRPr="00F807C8">
        <w:rPr>
          <w:rFonts w:eastAsia="Times New Roman"/>
          <w:i/>
        </w:rPr>
        <w:t>The Student Assessment Handbook: New</w:t>
      </w:r>
      <w:r w:rsidRPr="00F807C8">
        <w:rPr>
          <w:rFonts w:eastAsia="Times New Roman"/>
        </w:rPr>
        <w:t xml:space="preserve"> </w:t>
      </w:r>
      <w:r w:rsidRPr="00F807C8">
        <w:rPr>
          <w:rFonts w:eastAsia="Times New Roman"/>
          <w:i/>
        </w:rPr>
        <w:t xml:space="preserve">Directions in Traditional and Online Assessment, </w:t>
      </w:r>
      <w:r w:rsidRPr="00F807C8">
        <w:rPr>
          <w:rFonts w:eastAsia="Times New Roman"/>
        </w:rPr>
        <w:t>London: Routledge.</w:t>
      </w:r>
    </w:p>
    <w:p w:rsidR="00F807C8" w:rsidRPr="00F807C8" w:rsidRDefault="00F807C8" w:rsidP="00F807C8">
      <w:pPr>
        <w:spacing w:after="120"/>
        <w:ind w:left="567" w:hanging="567"/>
      </w:pPr>
      <w:r w:rsidRPr="00F807C8">
        <w:rPr>
          <w:bCs/>
        </w:rPr>
        <w:t xml:space="preserve">Falchikov, N. (2004) </w:t>
      </w:r>
      <w:r w:rsidRPr="00F807C8">
        <w:rPr>
          <w:bCs/>
          <w:i/>
          <w:iCs/>
        </w:rPr>
        <w:t>Improving Assessment through Student Involvement: Practical Solutions for Aiding Learning in Higher and Further Education,</w:t>
      </w:r>
      <w:r w:rsidRPr="00F807C8">
        <w:rPr>
          <w:bCs/>
        </w:rPr>
        <w:t xml:space="preserve"> Abingdon: Routledge.</w:t>
      </w:r>
    </w:p>
    <w:p w:rsidR="00F807C8" w:rsidRPr="00F807C8" w:rsidRDefault="00F807C8" w:rsidP="00F807C8">
      <w:pPr>
        <w:spacing w:after="120"/>
        <w:ind w:left="567" w:hanging="567"/>
        <w:rPr>
          <w:bCs/>
        </w:rPr>
      </w:pPr>
      <w:r w:rsidRPr="00F807C8">
        <w:rPr>
          <w:bCs/>
        </w:rPr>
        <w:t xml:space="preserve">Ferrell, G. (2014) </w:t>
      </w:r>
      <w:r w:rsidRPr="00F807C8">
        <w:rPr>
          <w:bCs/>
          <w:i/>
        </w:rPr>
        <w:t>Electronic management of assessment (EMA); a landscape review,</w:t>
      </w:r>
      <w:r w:rsidRPr="00F807C8">
        <w:rPr>
          <w:bCs/>
        </w:rPr>
        <w:t xml:space="preserve"> Bristol: JISC </w:t>
      </w:r>
      <w:hyperlink r:id="rId10" w:history="1">
        <w:r w:rsidRPr="00F807C8">
          <w:rPr>
            <w:rStyle w:val="Hyperlink"/>
            <w:bCs/>
          </w:rPr>
          <w:t>http://repository.jisc.ac.uk/5599/1/EMA_REPORT.pdf</w:t>
        </w:r>
      </w:hyperlink>
    </w:p>
    <w:p w:rsidR="00F807C8" w:rsidRPr="00F807C8" w:rsidRDefault="00F807C8" w:rsidP="00F807C8">
      <w:pPr>
        <w:pStyle w:val="ReferenceText"/>
        <w:spacing w:before="0"/>
        <w:ind w:left="567" w:hanging="567"/>
      </w:pPr>
      <w:r w:rsidRPr="00F807C8">
        <w:rPr>
          <w:bCs/>
        </w:rPr>
        <w:t xml:space="preserve">Flint, N. R. and Johnson, B. (2011) </w:t>
      </w:r>
      <w:r w:rsidRPr="00F807C8">
        <w:rPr>
          <w:bCs/>
          <w:i/>
          <w:iCs/>
        </w:rPr>
        <w:t>Towards fairer university assessment – recognising the concerns of students</w:t>
      </w:r>
      <w:r w:rsidRPr="00F807C8">
        <w:rPr>
          <w:bCs/>
        </w:rPr>
        <w:t xml:space="preserve"> London: Routledge.</w:t>
      </w:r>
    </w:p>
    <w:p w:rsidR="00F807C8" w:rsidRPr="00F807C8" w:rsidRDefault="00F807C8" w:rsidP="00F807C8">
      <w:pPr>
        <w:pStyle w:val="ReferenceText"/>
        <w:spacing w:before="0"/>
        <w:ind w:left="567" w:hanging="567"/>
        <w:rPr>
          <w:rFonts w:cstheme="minorHAnsi"/>
          <w:bCs/>
          <w:color w:val="000000"/>
        </w:rPr>
      </w:pPr>
      <w:r w:rsidRPr="00F807C8">
        <w:lastRenderedPageBreak/>
        <w:t xml:space="preserve">Foreman Peck, L. and McDowell, L. (2010) Aims, Ethics and values in Group work assessment, </w:t>
      </w:r>
    </w:p>
    <w:p w:rsidR="00F807C8" w:rsidRPr="00F807C8" w:rsidRDefault="00F807C8" w:rsidP="00F807C8">
      <w:pPr>
        <w:spacing w:after="120"/>
        <w:ind w:left="567" w:hanging="567"/>
        <w:rPr>
          <w:rFonts w:cstheme="minorHAnsi"/>
          <w:bCs/>
          <w:i/>
          <w:color w:val="000000"/>
        </w:rPr>
      </w:pPr>
      <w:r w:rsidRPr="00F807C8">
        <w:rPr>
          <w:rFonts w:cstheme="minorHAnsi"/>
          <w:bCs/>
          <w:color w:val="000000"/>
        </w:rPr>
        <w:t>Gibbs, G.</w:t>
      </w:r>
      <w:r w:rsidR="00186A9E">
        <w:rPr>
          <w:rFonts w:cstheme="minorHAnsi"/>
          <w:bCs/>
          <w:color w:val="000000"/>
        </w:rPr>
        <w:t xml:space="preserve"> </w:t>
      </w:r>
      <w:r w:rsidRPr="00F807C8">
        <w:rPr>
          <w:rFonts w:cstheme="minorHAnsi"/>
          <w:bCs/>
          <w:color w:val="000000"/>
        </w:rPr>
        <w:t>and Simpson, C. ( 2005) Conditions Under Which Assessment Supports Students’ Learning,</w:t>
      </w:r>
      <w:r w:rsidR="00186A9E">
        <w:rPr>
          <w:rFonts w:cstheme="minorHAnsi"/>
          <w:bCs/>
          <w:color w:val="000000"/>
        </w:rPr>
        <w:t xml:space="preserve"> </w:t>
      </w:r>
      <w:r w:rsidRPr="00F807C8">
        <w:rPr>
          <w:rFonts w:cstheme="minorHAnsi"/>
          <w:bCs/>
          <w:i/>
          <w:color w:val="000000"/>
        </w:rPr>
        <w:t>Learning and Teaching in Higher Education, Issue 1</w:t>
      </w:r>
      <w:r w:rsidRPr="00F807C8">
        <w:rPr>
          <w:rFonts w:cstheme="minorHAnsi"/>
          <w:bCs/>
          <w:color w:val="000000"/>
        </w:rPr>
        <w:t>, Gloucester: University of Gloucestershire.</w:t>
      </w:r>
    </w:p>
    <w:p w:rsidR="00F807C8" w:rsidRPr="00F807C8" w:rsidRDefault="00F807C8" w:rsidP="00F807C8">
      <w:pPr>
        <w:spacing w:after="120"/>
        <w:ind w:left="567" w:hanging="567"/>
      </w:pPr>
      <w:r w:rsidRPr="00F807C8">
        <w:rPr>
          <w:bCs/>
        </w:rPr>
        <w:t xml:space="preserve">Gibbs, G. (1999) </w:t>
      </w:r>
      <w:r w:rsidRPr="00F807C8">
        <w:rPr>
          <w:bCs/>
          <w:i/>
          <w:iCs/>
        </w:rPr>
        <w:t>Using assessment strategically to change the way students learn</w:t>
      </w:r>
      <w:r w:rsidRPr="00F807C8">
        <w:rPr>
          <w:bCs/>
        </w:rPr>
        <w:t xml:space="preserve">, in Brown S. and Glasner, A. (eds.), </w:t>
      </w:r>
      <w:r w:rsidRPr="00F807C8">
        <w:rPr>
          <w:bCs/>
          <w:i/>
          <w:iCs/>
        </w:rPr>
        <w:t xml:space="preserve">Assessment Matters in Higher Education: Choosing and Using Diverse Approaches, </w:t>
      </w:r>
      <w:r w:rsidRPr="00F807C8">
        <w:rPr>
          <w:bCs/>
        </w:rPr>
        <w:t>Maidenhead: SRHE/Open University Press.</w:t>
      </w:r>
    </w:p>
    <w:p w:rsidR="00F807C8" w:rsidRPr="00F807C8" w:rsidRDefault="00F807C8" w:rsidP="00F807C8">
      <w:pPr>
        <w:pStyle w:val="ReferenceText"/>
        <w:spacing w:before="0"/>
        <w:ind w:left="567" w:hanging="567"/>
        <w:contextualSpacing/>
      </w:pPr>
      <w:r w:rsidRPr="00F807C8">
        <w:rPr>
          <w:bCs/>
        </w:rPr>
        <w:t xml:space="preserve">Gibbs, G. (2010) </w:t>
      </w:r>
      <w:r w:rsidRPr="00F807C8">
        <w:rPr>
          <w:bCs/>
          <w:i/>
          <w:iCs/>
        </w:rPr>
        <w:t xml:space="preserve">Using assessment to support student learning </w:t>
      </w:r>
      <w:r w:rsidRPr="00F807C8">
        <w:rPr>
          <w:bCs/>
        </w:rPr>
        <w:t>Leeds: Leeds Met Press.</w:t>
      </w:r>
    </w:p>
    <w:p w:rsidR="00F807C8" w:rsidRPr="00F807C8" w:rsidRDefault="00F807C8" w:rsidP="00F807C8">
      <w:pPr>
        <w:pStyle w:val="ReferenceText"/>
        <w:spacing w:before="0"/>
        <w:ind w:left="567" w:hanging="567"/>
        <w:contextualSpacing/>
      </w:pPr>
    </w:p>
    <w:p w:rsidR="00F807C8" w:rsidRPr="00F807C8" w:rsidRDefault="00F807C8" w:rsidP="00F807C8">
      <w:pPr>
        <w:pStyle w:val="ReferenceText"/>
        <w:spacing w:before="0"/>
        <w:ind w:left="567" w:hanging="567"/>
      </w:pPr>
      <w:r w:rsidRPr="00F807C8">
        <w:t>Gibbs, G. and Simpson, C. (2002) ‘Does your assessment support your students’ learning?’, www.open.ac.uk/science/fdtl/documents/lit-review.pdf, Milton Keynes: Open University, accessed September 2004.</w:t>
      </w:r>
    </w:p>
    <w:p w:rsidR="00F807C8" w:rsidRPr="00BE3807" w:rsidRDefault="00F807C8" w:rsidP="00BE3807">
      <w:pPr>
        <w:spacing w:after="120"/>
        <w:ind w:left="567" w:hanging="567"/>
        <w:rPr>
          <w:rFonts w:cstheme="minorHAnsi"/>
          <w:bCs/>
          <w:i/>
        </w:rPr>
      </w:pPr>
      <w:r w:rsidRPr="00F807C8">
        <w:rPr>
          <w:rFonts w:cstheme="minorHAnsi"/>
          <w:bCs/>
        </w:rPr>
        <w:t xml:space="preserve">Gibbs, G. and Simpson, C. (2005) Conditions Under Which Assessment Supports Students’ Learning, </w:t>
      </w:r>
      <w:r w:rsidRPr="00F807C8">
        <w:rPr>
          <w:rFonts w:cstheme="minorHAnsi"/>
          <w:bCs/>
          <w:i/>
        </w:rPr>
        <w:t>Learning and Teaching in Higher Education, Issue 1</w:t>
      </w:r>
      <w:r w:rsidRPr="00F807C8">
        <w:rPr>
          <w:rFonts w:cstheme="minorHAnsi"/>
          <w:bCs/>
        </w:rPr>
        <w:t>, Gloucester: University of Gloucestershire.</w:t>
      </w:r>
    </w:p>
    <w:p w:rsidR="00F807C8" w:rsidRPr="00F807C8" w:rsidRDefault="00F807C8" w:rsidP="00F807C8">
      <w:pPr>
        <w:spacing w:after="120"/>
        <w:ind w:left="567" w:hanging="567"/>
        <w:rPr>
          <w:rFonts w:cstheme="minorHAnsi"/>
          <w:bCs/>
        </w:rPr>
      </w:pPr>
      <w:r w:rsidRPr="00F807C8">
        <w:rPr>
          <w:rFonts w:cstheme="minorHAnsi"/>
          <w:bCs/>
        </w:rPr>
        <w:t>Higher Education Academy (2012) </w:t>
      </w:r>
      <w:r w:rsidRPr="00F807C8">
        <w:rPr>
          <w:rFonts w:cstheme="minorHAnsi"/>
          <w:bCs/>
          <w:i/>
          <w:iCs/>
        </w:rPr>
        <w:t>A Marked Improvement: transforming assessment in higher education, </w:t>
      </w:r>
      <w:r w:rsidRPr="00F807C8">
        <w:rPr>
          <w:rFonts w:cstheme="minorHAnsi"/>
          <w:bCs/>
        </w:rPr>
        <w:t>York: Higher Education Academy. (</w:t>
      </w:r>
      <w:hyperlink r:id="rId11" w:tgtFrame="_blank" w:history="1">
        <w:r w:rsidRPr="00F807C8">
          <w:rPr>
            <w:rFonts w:cstheme="minorHAnsi"/>
            <w:bCs/>
            <w:u w:val="single"/>
          </w:rPr>
          <w:t>http://</w:t>
        </w:r>
      </w:hyperlink>
      <w:hyperlink r:id="rId12" w:tgtFrame="_blank" w:history="1">
        <w:r w:rsidRPr="00F807C8">
          <w:rPr>
            <w:rFonts w:cstheme="minorHAnsi"/>
            <w:bCs/>
            <w:u w:val="single"/>
          </w:rPr>
          <w:t>www.heacademy.ac.uk/assets/documents/assessment/A_Marked_Improvement.pdf</w:t>
        </w:r>
      </w:hyperlink>
    </w:p>
    <w:p w:rsidR="00F807C8" w:rsidRPr="00F807C8" w:rsidRDefault="00F807C8" w:rsidP="00F807C8">
      <w:pPr>
        <w:pStyle w:val="ReferenceText"/>
        <w:spacing w:before="0"/>
        <w:ind w:left="567" w:hanging="567"/>
        <w:rPr>
          <w:bCs/>
        </w:rPr>
      </w:pPr>
      <w:r w:rsidRPr="00F807C8">
        <w:rPr>
          <w:bCs/>
        </w:rPr>
        <w:t>Hounsell, D. (2008). The trouble with feedback:</w:t>
      </w:r>
      <w:r w:rsidR="00186A9E">
        <w:rPr>
          <w:bCs/>
        </w:rPr>
        <w:t xml:space="preserve"> </w:t>
      </w:r>
      <w:r w:rsidRPr="00F807C8">
        <w:rPr>
          <w:bCs/>
        </w:rPr>
        <w:t xml:space="preserve">New challenges, emerging strategies. </w:t>
      </w:r>
      <w:r w:rsidRPr="00F807C8">
        <w:rPr>
          <w:bCs/>
          <w:i/>
          <w:iCs/>
        </w:rPr>
        <w:t>Interchange, Spring</w:t>
      </w:r>
      <w:r w:rsidRPr="00F807C8">
        <w:rPr>
          <w:bCs/>
        </w:rPr>
        <w:t xml:space="preserve">, Accessed at </w:t>
      </w:r>
      <w:hyperlink r:id="rId13" w:history="1">
        <w:r w:rsidRPr="00F807C8">
          <w:rPr>
            <w:rStyle w:val="Hyperlink"/>
            <w:bCs/>
          </w:rPr>
          <w:t>www.tla.ed.ac.uk/interchange</w:t>
        </w:r>
      </w:hyperlink>
      <w:r w:rsidRPr="00F807C8">
        <w:rPr>
          <w:bCs/>
        </w:rPr>
        <w:t>.</w:t>
      </w:r>
    </w:p>
    <w:p w:rsidR="00F807C8" w:rsidRPr="00F807C8" w:rsidRDefault="00F807C8" w:rsidP="00F807C8">
      <w:pPr>
        <w:spacing w:after="120"/>
        <w:ind w:left="567" w:hanging="567"/>
      </w:pPr>
      <w:r w:rsidRPr="00F807C8">
        <w:t xml:space="preserve">JISC (2007) </w:t>
      </w:r>
      <w:r w:rsidRPr="00F807C8">
        <w:rPr>
          <w:i/>
        </w:rPr>
        <w:t>Effective Practice with e-Assessment: An overview of technologies, policies and practice in further and higher education</w:t>
      </w:r>
      <w:r w:rsidRPr="00F807C8">
        <w:t xml:space="preserve">, </w:t>
      </w:r>
      <w:hyperlink r:id="rId14" w:history="1">
        <w:r w:rsidRPr="00F807C8">
          <w:rPr>
            <w:rStyle w:val="Hyperlink"/>
          </w:rPr>
          <w:t>http://www.jisc.ac.uk/publications/</w:t>
        </w:r>
      </w:hyperlink>
      <w:r w:rsidRPr="00F807C8">
        <w:t xml:space="preserve"> </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JISC (2009) </w:t>
      </w:r>
      <w:r w:rsidRPr="00F807C8">
        <w:rPr>
          <w:rFonts w:cstheme="minorHAnsi"/>
          <w:bCs/>
          <w:i/>
          <w:color w:val="000000"/>
        </w:rPr>
        <w:t>Sounds Good: quicker, better assessment using audio feedback,</w:t>
      </w:r>
      <w:r w:rsidRPr="00F807C8">
        <w:rPr>
          <w:rFonts w:cstheme="minorHAnsi"/>
          <w:bCs/>
          <w:color w:val="000000"/>
        </w:rPr>
        <w:t xml:space="preserve"> </w:t>
      </w:r>
      <w:hyperlink r:id="rId15" w:history="1">
        <w:r w:rsidRPr="00F807C8">
          <w:rPr>
            <w:rFonts w:cstheme="minorHAnsi"/>
            <w:bCs/>
            <w:color w:val="0563C1" w:themeColor="hyperlink"/>
            <w:u w:val="single"/>
          </w:rPr>
          <w:t>http://www.jisc.ac.uk/publications/reports/2009/soundsgoodfinalreport.aspx</w:t>
        </w:r>
      </w:hyperlink>
    </w:p>
    <w:p w:rsidR="00F807C8" w:rsidRPr="00F807C8" w:rsidRDefault="00F807C8" w:rsidP="00F807C8">
      <w:pPr>
        <w:autoSpaceDE w:val="0"/>
        <w:autoSpaceDN w:val="0"/>
        <w:adjustRightInd w:val="0"/>
        <w:spacing w:after="120"/>
        <w:ind w:left="567" w:hanging="567"/>
      </w:pPr>
      <w:r w:rsidRPr="00F807C8">
        <w:t xml:space="preserve">JISC (2010) </w:t>
      </w:r>
      <w:r w:rsidRPr="00F807C8">
        <w:rPr>
          <w:i/>
        </w:rPr>
        <w:t>Effective Assessment in a Digital Age: A guide to technology-enhanced assessment and feedback</w:t>
      </w:r>
      <w:r w:rsidRPr="00F807C8">
        <w:t xml:space="preserve">, </w:t>
      </w:r>
      <w:hyperlink r:id="rId16" w:history="1">
        <w:r w:rsidRPr="00F807C8">
          <w:rPr>
            <w:rStyle w:val="Hyperlink"/>
          </w:rPr>
          <w:t>http://www.jisc.ac.uk/publications/</w:t>
        </w:r>
      </w:hyperlink>
      <w:r w:rsidRPr="00F807C8">
        <w:t xml:space="preserve"> </w:t>
      </w:r>
    </w:p>
    <w:p w:rsidR="00F807C8" w:rsidRPr="00F807C8" w:rsidRDefault="00F807C8" w:rsidP="00F807C8">
      <w:pPr>
        <w:pStyle w:val="ReferenceText"/>
        <w:spacing w:before="0"/>
        <w:ind w:left="567" w:hanging="567"/>
        <w:rPr>
          <w:bCs/>
        </w:rPr>
      </w:pPr>
      <w:r w:rsidRPr="00F807C8">
        <w:rPr>
          <w:bCs/>
        </w:rPr>
        <w:t xml:space="preserve">Joughin, G. (2010) </w:t>
      </w:r>
      <w:r w:rsidRPr="00F807C8">
        <w:rPr>
          <w:bCs/>
          <w:i/>
          <w:iCs/>
        </w:rPr>
        <w:t xml:space="preserve">A short guide to oral assessment </w:t>
      </w:r>
      <w:r w:rsidRPr="00F807C8">
        <w:rPr>
          <w:bCs/>
        </w:rPr>
        <w:t>Leeds: Leeds Met Press.</w:t>
      </w:r>
    </w:p>
    <w:p w:rsidR="00F807C8" w:rsidRPr="00F807C8" w:rsidRDefault="00F807C8" w:rsidP="00F807C8">
      <w:pPr>
        <w:spacing w:after="120"/>
        <w:ind w:left="567" w:hanging="567"/>
      </w:pPr>
      <w:r w:rsidRPr="00F807C8">
        <w:rPr>
          <w:bCs/>
        </w:rPr>
        <w:t xml:space="preserve">Knight, P. and Yorke, M. (2003) </w:t>
      </w:r>
      <w:r w:rsidRPr="00F807C8">
        <w:rPr>
          <w:bCs/>
          <w:i/>
          <w:iCs/>
        </w:rPr>
        <w:t>Assessment, learning and employability,</w:t>
      </w:r>
      <w:r w:rsidRPr="00F807C8">
        <w:rPr>
          <w:bCs/>
        </w:rPr>
        <w:t xml:space="preserve"> Maidenhead, UK: SRHE/Open University Press.</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McDowell, L. (2012) Programme focussed assessment Bradford: Bradford University </w:t>
      </w:r>
      <w:hyperlink r:id="rId17" w:history="1">
        <w:r w:rsidRPr="00F807C8">
          <w:rPr>
            <w:rFonts w:cstheme="minorHAnsi"/>
            <w:bCs/>
            <w:color w:val="0563C1" w:themeColor="hyperlink"/>
            <w:u w:val="single"/>
          </w:rPr>
          <w:t>http://www.pass.brad.ac.uk/short-guide.pdf</w:t>
        </w:r>
      </w:hyperlink>
    </w:p>
    <w:p w:rsidR="00F807C8" w:rsidRPr="00F807C8" w:rsidRDefault="00F807C8" w:rsidP="00F807C8">
      <w:pPr>
        <w:spacing w:after="120"/>
        <w:ind w:left="567" w:right="3" w:hanging="567"/>
        <w:contextualSpacing/>
      </w:pPr>
      <w:r w:rsidRPr="00F807C8">
        <w:rPr>
          <w:rFonts w:cstheme="minorHAnsi"/>
          <w:bCs/>
          <w:color w:val="000000"/>
        </w:rPr>
        <w:t xml:space="preserve">McDowell, L. and Brown, S. (2001) </w:t>
      </w:r>
      <w:r w:rsidRPr="00F807C8">
        <w:rPr>
          <w:rFonts w:cstheme="minorHAnsi"/>
          <w:bCs/>
          <w:i/>
          <w:color w:val="000000"/>
        </w:rPr>
        <w:t>Assessing students: cheating and plagiarism</w:t>
      </w:r>
      <w:r w:rsidRPr="00F807C8">
        <w:rPr>
          <w:rFonts w:cstheme="minorHAnsi"/>
          <w:bCs/>
          <w:color w:val="000000"/>
        </w:rPr>
        <w:t xml:space="preserve">, </w:t>
      </w:r>
      <w:r w:rsidRPr="00F807C8">
        <w:rPr>
          <w:rFonts w:cstheme="minorHAnsi"/>
          <w:bCs/>
          <w:iCs/>
          <w:color w:val="000000"/>
        </w:rPr>
        <w:t xml:space="preserve">The Higher Education Academy. Retrieved from </w:t>
      </w:r>
      <w:hyperlink r:id="rId18" w:history="1">
        <w:r w:rsidRPr="00F807C8">
          <w:rPr>
            <w:rStyle w:val="Hyperlink"/>
          </w:rPr>
          <w:t>http://jisctechdis.ac.uk/assets/Documents/resources/database/id430_cheating_and_plagiarism.pdf</w:t>
        </w:r>
      </w:hyperlink>
      <w:r w:rsidR="00186A9E">
        <w:t xml:space="preserve"> </w:t>
      </w:r>
      <w:r w:rsidRPr="00F807C8">
        <w:t xml:space="preserve"> </w:t>
      </w:r>
    </w:p>
    <w:p w:rsidR="00F807C8" w:rsidRPr="00F807C8" w:rsidRDefault="00F807C8" w:rsidP="00F807C8">
      <w:pPr>
        <w:pStyle w:val="ReferenceText"/>
        <w:spacing w:before="0"/>
        <w:ind w:left="567" w:hanging="567"/>
      </w:pPr>
      <w:r w:rsidRPr="00F807C8">
        <w:t xml:space="preserve">Meyer, J.H.F. and Land, R. (2003) ‘Threshold Concepts and Troublesome Knowledge 1 – Linkages to Ways of Thinking and Practising within the Disciplines’ in C. Rust (ed.) </w:t>
      </w:r>
      <w:r w:rsidRPr="00F807C8">
        <w:rPr>
          <w:i/>
          <w:iCs/>
        </w:rPr>
        <w:t xml:space="preserve">Improving Student Learning </w:t>
      </w:r>
      <w:r w:rsidRPr="00F807C8">
        <w:t>–</w:t>
      </w:r>
      <w:r w:rsidRPr="00F807C8">
        <w:rPr>
          <w:i/>
          <w:iCs/>
        </w:rPr>
        <w:t xml:space="preserve"> Ten years on</w:t>
      </w:r>
      <w:r w:rsidRPr="00F807C8">
        <w:t>. Oxford: OCSLD.</w:t>
      </w:r>
    </w:p>
    <w:p w:rsidR="00F807C8" w:rsidRPr="00F807C8" w:rsidRDefault="00F807C8" w:rsidP="00F807C8">
      <w:pPr>
        <w:spacing w:after="120"/>
        <w:ind w:left="567" w:hanging="567"/>
        <w:rPr>
          <w:rFonts w:cstheme="minorHAnsi"/>
          <w:bCs/>
          <w:color w:val="000000"/>
        </w:rPr>
      </w:pPr>
      <w:r w:rsidRPr="00F807C8">
        <w:rPr>
          <w:rFonts w:cstheme="minorHAnsi"/>
          <w:bCs/>
          <w:color w:val="000000"/>
        </w:rPr>
        <w:lastRenderedPageBreak/>
        <w:t>Newstead,</w:t>
      </w:r>
      <w:r w:rsidR="00186A9E">
        <w:rPr>
          <w:rFonts w:cstheme="minorHAnsi"/>
          <w:bCs/>
          <w:color w:val="000000"/>
        </w:rPr>
        <w:t xml:space="preserve"> </w:t>
      </w:r>
      <w:r w:rsidRPr="00F807C8">
        <w:rPr>
          <w:rFonts w:cstheme="minorHAnsi"/>
          <w:bCs/>
          <w:color w:val="000000"/>
        </w:rPr>
        <w:t xml:space="preserve">S. E., Franklyn-Stokes, A. and Armistead, P. (1996) Individual differences in student cheating, </w:t>
      </w:r>
      <w:r w:rsidRPr="00F807C8">
        <w:rPr>
          <w:rFonts w:cstheme="minorHAnsi"/>
          <w:bCs/>
          <w:i/>
          <w:color w:val="000000"/>
        </w:rPr>
        <w:t>Journal of Educational Psychology</w:t>
      </w:r>
      <w:r w:rsidRPr="00F807C8">
        <w:rPr>
          <w:rFonts w:cstheme="minorHAnsi"/>
          <w:bCs/>
          <w:color w:val="000000"/>
        </w:rPr>
        <w:t xml:space="preserve"> 88 p229-241.</w:t>
      </w:r>
    </w:p>
    <w:p w:rsidR="00F807C8" w:rsidRPr="00F807C8" w:rsidRDefault="00F807C8" w:rsidP="00F807C8">
      <w:pPr>
        <w:spacing w:after="120"/>
        <w:ind w:left="567" w:hanging="567"/>
      </w:pPr>
      <w:r w:rsidRPr="00F807C8">
        <w:rPr>
          <w:bCs/>
        </w:rPr>
        <w:t xml:space="preserve">Nicol, D. J. and Macfarlane-Dick, D. (2006) Formative assessment and self-regulated learning: A model and seven principles of good feedback practice, </w:t>
      </w:r>
      <w:r w:rsidRPr="00F807C8">
        <w:rPr>
          <w:bCs/>
          <w:i/>
          <w:iCs/>
        </w:rPr>
        <w:t xml:space="preserve">Studies in Higher Education </w:t>
      </w:r>
      <w:r w:rsidRPr="00F807C8">
        <w:rPr>
          <w:bCs/>
          <w:iCs/>
        </w:rPr>
        <w:t>Vol 31(2), 199-218.</w:t>
      </w:r>
    </w:p>
    <w:p w:rsidR="00F807C8" w:rsidRPr="00F807C8" w:rsidRDefault="00F807C8" w:rsidP="00F807C8">
      <w:pPr>
        <w:spacing w:after="120"/>
        <w:ind w:left="567" w:hanging="567"/>
      </w:pPr>
      <w:r w:rsidRPr="00F807C8">
        <w:rPr>
          <w:bCs/>
        </w:rPr>
        <w:t xml:space="preserve">Northedge, A. (2003a) Enabling participation in academic discourse, </w:t>
      </w:r>
      <w:r w:rsidRPr="00F807C8">
        <w:rPr>
          <w:bCs/>
          <w:i/>
          <w:iCs/>
        </w:rPr>
        <w:t>Teaching in Higher Education, Vol. 8, No. 2,</w:t>
      </w:r>
      <w:r w:rsidR="00186A9E">
        <w:rPr>
          <w:bCs/>
          <w:i/>
          <w:iCs/>
        </w:rPr>
        <w:t xml:space="preserve"> </w:t>
      </w:r>
      <w:r w:rsidRPr="00F807C8">
        <w:rPr>
          <w:bCs/>
          <w:i/>
          <w:iCs/>
        </w:rPr>
        <w:t>pp. 169-180.</w:t>
      </w:r>
    </w:p>
    <w:p w:rsidR="00F807C8" w:rsidRPr="00F807C8" w:rsidRDefault="00F807C8" w:rsidP="00F807C8">
      <w:pPr>
        <w:spacing w:after="120"/>
        <w:ind w:left="567" w:right="-20" w:hanging="567"/>
        <w:contextualSpacing/>
      </w:pPr>
      <w:r w:rsidRPr="00F807C8">
        <w:rPr>
          <w:rFonts w:eastAsia="Times New Roman"/>
          <w:iCs/>
        </w:rPr>
        <w:t xml:space="preserve">NUS (2010) </w:t>
      </w:r>
      <w:r w:rsidRPr="00F807C8">
        <w:rPr>
          <w:i/>
        </w:rPr>
        <w:t>NUS Charter on Assessment and Feedback,</w:t>
      </w:r>
      <w:r w:rsidRPr="00F807C8">
        <w:t xml:space="preserve"> </w:t>
      </w:r>
      <w:hyperlink r:id="rId19" w:history="1">
        <w:r w:rsidRPr="00F807C8">
          <w:rPr>
            <w:rStyle w:val="Hyperlink"/>
          </w:rPr>
          <w:t>http://www.nusconnect.org.uk/asset/news/6010/FeedbackCharter-toview.pdf</w:t>
        </w:r>
      </w:hyperlink>
      <w:r w:rsidRPr="00F807C8">
        <w:t>).</w:t>
      </w:r>
    </w:p>
    <w:p w:rsidR="00F807C8" w:rsidRPr="00F807C8" w:rsidRDefault="00F807C8" w:rsidP="00F807C8">
      <w:pPr>
        <w:spacing w:after="120"/>
        <w:ind w:left="567" w:hanging="567"/>
        <w:contextualSpacing/>
        <w:rPr>
          <w:rFonts w:cs="Arial"/>
          <w:shd w:val="clear" w:color="auto" w:fill="FFFFFF"/>
        </w:rPr>
      </w:pPr>
      <w:r w:rsidRPr="00F807C8">
        <w:rPr>
          <w:bCs/>
        </w:rPr>
        <w:t xml:space="preserve">NUS (2014) </w:t>
      </w:r>
      <w:r w:rsidRPr="00F807C8">
        <w:rPr>
          <w:rFonts w:cs="Arial"/>
          <w:shd w:val="clear" w:color="auto" w:fill="FFFFFF"/>
        </w:rPr>
        <w:t xml:space="preserve">Assessment and feedback benchmarking tool </w:t>
      </w:r>
      <w:hyperlink r:id="rId20" w:history="1">
        <w:r w:rsidRPr="00F807C8">
          <w:rPr>
            <w:rStyle w:val="Hyperlink"/>
            <w:rFonts w:cs="Arial"/>
            <w:shd w:val="clear" w:color="auto" w:fill="FFFFFF"/>
          </w:rPr>
          <w:t>file:///C:/Documents%20and%20Settings/csadm1n01/My%20Documents/Downloads/Assessment%20and%20feedback%20benchmarking%20tool%20(1).pdf</w:t>
        </w:r>
      </w:hyperlink>
      <w:r w:rsidRPr="00F807C8">
        <w:rPr>
          <w:rFonts w:cs="Arial"/>
          <w:shd w:val="clear" w:color="auto" w:fill="FFFFFF"/>
        </w:rPr>
        <w:t xml:space="preserve"> (accessed September 2014).</w:t>
      </w:r>
    </w:p>
    <w:p w:rsidR="00F807C8" w:rsidRPr="00F807C8" w:rsidRDefault="00F807C8" w:rsidP="00F807C8">
      <w:pPr>
        <w:spacing w:after="120"/>
        <w:ind w:left="567" w:hanging="567"/>
        <w:contextualSpacing/>
        <w:rPr>
          <w:rFonts w:eastAsia="Times New Roman" w:cs="Arial"/>
        </w:rPr>
      </w:pPr>
      <w:r w:rsidRPr="00F807C8">
        <w:rPr>
          <w:rFonts w:eastAsia="Times New Roman" w:cs="Arial"/>
        </w:rPr>
        <w:t xml:space="preserve">Orsmond, P., Merry, S., &amp; Reiling, K. (2002). The use of exemplars and formative feedback when using student derived marking criteria in peer and self-assessment. </w:t>
      </w:r>
      <w:r w:rsidRPr="00F807C8">
        <w:rPr>
          <w:rFonts w:eastAsia="Times New Roman" w:cs="Arial"/>
          <w:i/>
        </w:rPr>
        <w:t>Assessment &amp; Evaluation in Higher Education, 27</w:t>
      </w:r>
      <w:r w:rsidRPr="00F807C8">
        <w:rPr>
          <w:rFonts w:eastAsia="Times New Roman" w:cs="Arial"/>
        </w:rPr>
        <w:t>(4), 309-323.</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PASS (2012) </w:t>
      </w:r>
      <w:r w:rsidRPr="00F807C8">
        <w:rPr>
          <w:rFonts w:cstheme="minorHAnsi"/>
          <w:bCs/>
          <w:i/>
          <w:color w:val="000000"/>
        </w:rPr>
        <w:t>The case for Programme Focused Assessment: PASS Position Paper</w:t>
      </w:r>
      <w:r w:rsidRPr="00F807C8">
        <w:t xml:space="preserve"> </w:t>
      </w:r>
      <w:hyperlink r:id="rId21" w:history="1">
        <w:r w:rsidRPr="00F807C8">
          <w:rPr>
            <w:rFonts w:cstheme="minorHAnsi"/>
            <w:bCs/>
            <w:color w:val="0563C1" w:themeColor="hyperlink"/>
            <w:u w:val="single"/>
          </w:rPr>
          <w:t>http://www.pass.brad.ac.uk/position-paper.pdf</w:t>
        </w:r>
      </w:hyperlink>
      <w:r w:rsidRPr="00F807C8">
        <w:rPr>
          <w:rFonts w:cstheme="minorHAnsi"/>
          <w:bCs/>
          <w:color w:val="000000"/>
        </w:rPr>
        <w:t xml:space="preserve"> </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Pickford, R. (2009) </w:t>
      </w:r>
      <w:r w:rsidRPr="00F807C8">
        <w:rPr>
          <w:rFonts w:cstheme="minorHAnsi"/>
          <w:bCs/>
          <w:i/>
          <w:color w:val="000000"/>
        </w:rPr>
        <w:t>Designing First-Year Assessment and Feedback: a guide to university staff</w:t>
      </w:r>
      <w:r w:rsidRPr="00F807C8">
        <w:rPr>
          <w:rFonts w:cstheme="minorHAnsi"/>
          <w:bCs/>
          <w:color w:val="000000"/>
        </w:rPr>
        <w:t>, Leeds: Leeds Metropolitan University Press.</w:t>
      </w:r>
    </w:p>
    <w:p w:rsidR="00F807C8" w:rsidRPr="00F807C8" w:rsidRDefault="00F807C8" w:rsidP="00F807C8">
      <w:pPr>
        <w:spacing w:after="120"/>
        <w:ind w:left="567" w:hanging="567"/>
        <w:contextualSpacing/>
        <w:rPr>
          <w:bCs/>
        </w:rPr>
      </w:pPr>
      <w:r w:rsidRPr="00F807C8">
        <w:rPr>
          <w:bCs/>
        </w:rPr>
        <w:t xml:space="preserve">Pickford, R. and Brown, S. (2006) </w:t>
      </w:r>
      <w:r w:rsidRPr="00F807C8">
        <w:rPr>
          <w:bCs/>
          <w:i/>
          <w:iCs/>
        </w:rPr>
        <w:t>Assessing skills and practice</w:t>
      </w:r>
      <w:r w:rsidRPr="00F807C8">
        <w:rPr>
          <w:bCs/>
        </w:rPr>
        <w:t xml:space="preserve"> London: Routledge. </w:t>
      </w:r>
    </w:p>
    <w:p w:rsidR="00F807C8" w:rsidRPr="00F807C8" w:rsidRDefault="00F807C8" w:rsidP="00F807C8">
      <w:pPr>
        <w:spacing w:after="120"/>
        <w:ind w:left="567" w:hanging="567"/>
        <w:rPr>
          <w:bCs/>
        </w:rPr>
      </w:pPr>
      <w:r w:rsidRPr="00F807C8">
        <w:rPr>
          <w:bCs/>
        </w:rPr>
        <w:t xml:space="preserve">Price, M, Rust, C., Donovan, B., and Handley, K. with Bryant, R. (2012) </w:t>
      </w:r>
      <w:r w:rsidRPr="00F807C8">
        <w:rPr>
          <w:bCs/>
          <w:i/>
          <w:iCs/>
        </w:rPr>
        <w:t>Assessment Literacy: the foundation for Improving student learning</w:t>
      </w:r>
      <w:r w:rsidRPr="00F807C8">
        <w:rPr>
          <w:bCs/>
        </w:rPr>
        <w:t>, Oxford: Oxford Centre for Staff and learning Development.</w:t>
      </w:r>
    </w:p>
    <w:p w:rsidR="00F807C8" w:rsidRPr="00F807C8" w:rsidRDefault="00F807C8" w:rsidP="00F807C8">
      <w:pPr>
        <w:spacing w:after="120"/>
        <w:ind w:left="567" w:hanging="567"/>
        <w:rPr>
          <w:bCs/>
        </w:rPr>
      </w:pPr>
      <w:r w:rsidRPr="00F807C8">
        <w:rPr>
          <w:bCs/>
        </w:rPr>
        <w:t xml:space="preserve">QAA (2013) UK Quality Code for Higher Education: Chapter B6: Assessment of students and recognition of prior learning. </w:t>
      </w:r>
      <w:hyperlink r:id="rId22" w:history="1">
        <w:r w:rsidRPr="00F807C8">
          <w:rPr>
            <w:bCs/>
            <w:color w:val="0563C1" w:themeColor="hyperlink"/>
            <w:u w:val="single"/>
          </w:rPr>
          <w:t>http://www.qaa.ac.uk/publications/informationandguidance/pages/quality-code-b6.aspx</w:t>
        </w:r>
      </w:hyperlink>
      <w:r w:rsidRPr="00F807C8">
        <w:rPr>
          <w:bCs/>
        </w:rPr>
        <w:t xml:space="preserve"> </w:t>
      </w:r>
    </w:p>
    <w:p w:rsidR="00F807C8" w:rsidRDefault="00F807C8" w:rsidP="00F807C8">
      <w:pPr>
        <w:spacing w:after="120"/>
        <w:ind w:left="567" w:hanging="567"/>
        <w:rPr>
          <w:bCs/>
        </w:rPr>
      </w:pPr>
      <w:r w:rsidRPr="00F807C8">
        <w:rPr>
          <w:bCs/>
        </w:rPr>
        <w:t xml:space="preserve">Race, P. (2001) </w:t>
      </w:r>
      <w:r w:rsidRPr="00F807C8">
        <w:rPr>
          <w:bCs/>
          <w:i/>
          <w:iCs/>
        </w:rPr>
        <w:t>A Briefing on Self, Peer and Group Assessment,</w:t>
      </w:r>
      <w:r w:rsidRPr="00F807C8">
        <w:rPr>
          <w:bCs/>
        </w:rPr>
        <w:t xml:space="preserve"> in LTSN Generic Centre Assessment </w:t>
      </w:r>
    </w:p>
    <w:p w:rsidR="00F807C8" w:rsidRPr="00CE777C" w:rsidRDefault="00F807C8" w:rsidP="00F807C8">
      <w:pPr>
        <w:spacing w:after="120"/>
        <w:ind w:left="567" w:hanging="567"/>
        <w:rPr>
          <w:bCs/>
        </w:rPr>
      </w:pPr>
      <w:r w:rsidRPr="00CE777C">
        <w:rPr>
          <w:bCs/>
        </w:rPr>
        <w:t xml:space="preserve">Race, P. (2014) </w:t>
      </w:r>
      <w:r w:rsidRPr="00CE777C">
        <w:rPr>
          <w:bCs/>
          <w:i/>
        </w:rPr>
        <w:t>Making learning happen, 3</w:t>
      </w:r>
      <w:r w:rsidRPr="00CE777C">
        <w:rPr>
          <w:bCs/>
          <w:i/>
          <w:vertAlign w:val="superscript"/>
        </w:rPr>
        <w:t>rd</w:t>
      </w:r>
      <w:r w:rsidRPr="00CE777C">
        <w:rPr>
          <w:bCs/>
          <w:i/>
        </w:rPr>
        <w:t xml:space="preserve"> edition, </w:t>
      </w:r>
      <w:r w:rsidRPr="00CE777C">
        <w:rPr>
          <w:bCs/>
        </w:rPr>
        <w:t xml:space="preserve">London: Sage. </w:t>
      </w:r>
    </w:p>
    <w:p w:rsidR="00F807C8" w:rsidRPr="00F807C8" w:rsidRDefault="00F807C8" w:rsidP="00F807C8">
      <w:pPr>
        <w:spacing w:after="120"/>
        <w:ind w:left="567" w:hanging="567"/>
      </w:pPr>
      <w:r w:rsidRPr="00F807C8">
        <w:rPr>
          <w:bCs/>
        </w:rPr>
        <w:t xml:space="preserve">Rust, C., Price, M. and O’Donovan, B. (2003) Improving students’ learning by developing their understanding of assessment criteria and processes, </w:t>
      </w:r>
      <w:r w:rsidRPr="00F807C8">
        <w:rPr>
          <w:bCs/>
          <w:i/>
          <w:iCs/>
        </w:rPr>
        <w:t>Assessment and Evaluation in Higher Education</w:t>
      </w:r>
      <w:r w:rsidRPr="00F807C8">
        <w:rPr>
          <w:bCs/>
        </w:rPr>
        <w:t xml:space="preserve">, 28 (2), 147-164. </w:t>
      </w:r>
    </w:p>
    <w:p w:rsidR="00F807C8" w:rsidRPr="00F807C8" w:rsidRDefault="00F807C8" w:rsidP="00F807C8">
      <w:pPr>
        <w:spacing w:after="120"/>
        <w:ind w:left="567" w:hanging="567"/>
      </w:pPr>
      <w:r w:rsidRPr="00F807C8">
        <w:rPr>
          <w:bCs/>
        </w:rPr>
        <w:t xml:space="preserve">Sadler, D. R. (1989) Formative assessment and the design of instructional systems, </w:t>
      </w:r>
      <w:r w:rsidRPr="00F807C8">
        <w:rPr>
          <w:bCs/>
          <w:i/>
          <w:iCs/>
        </w:rPr>
        <w:t xml:space="preserve">Instructional Science </w:t>
      </w:r>
      <w:r w:rsidRPr="00F807C8">
        <w:rPr>
          <w:bCs/>
        </w:rPr>
        <w:t>18, 119-144.</w:t>
      </w:r>
    </w:p>
    <w:p w:rsidR="00F807C8" w:rsidRPr="00F807C8" w:rsidRDefault="00F807C8" w:rsidP="00F807C8">
      <w:pPr>
        <w:spacing w:after="120"/>
        <w:ind w:left="567" w:hanging="567"/>
      </w:pPr>
      <w:r w:rsidRPr="00F807C8">
        <w:rPr>
          <w:bCs/>
        </w:rPr>
        <w:t xml:space="preserve">Sadler, D. R. (1998) Formative assessment: revisiting the territory, </w:t>
      </w:r>
      <w:r w:rsidRPr="00F807C8">
        <w:rPr>
          <w:bCs/>
          <w:i/>
          <w:iCs/>
        </w:rPr>
        <w:t xml:space="preserve">Assessment in Education: Principles, Policy and Practice </w:t>
      </w:r>
      <w:r w:rsidRPr="00F807C8">
        <w:rPr>
          <w:bCs/>
        </w:rPr>
        <w:t>5, 77-8.</w:t>
      </w:r>
    </w:p>
    <w:p w:rsidR="00F807C8" w:rsidRPr="00F807C8" w:rsidRDefault="00F807C8" w:rsidP="00F807C8">
      <w:pPr>
        <w:pStyle w:val="ReferenceText"/>
        <w:spacing w:before="0"/>
        <w:ind w:left="567" w:hanging="567"/>
      </w:pPr>
      <w:r w:rsidRPr="00F807C8">
        <w:t xml:space="preserve">Sadler, D. R. (2003) </w:t>
      </w:r>
      <w:r w:rsidRPr="00F807C8">
        <w:rPr>
          <w:i/>
        </w:rPr>
        <w:t>How</w:t>
      </w:r>
      <w:r w:rsidRPr="00F807C8">
        <w:t xml:space="preserve"> </w:t>
      </w:r>
      <w:r w:rsidRPr="00F807C8">
        <w:rPr>
          <w:i/>
        </w:rPr>
        <w:t>criteria-based grading misses the point</w:t>
      </w:r>
      <w:r w:rsidRPr="00F807C8">
        <w:t>, Presentation to the Effective Teaching and Learning Conference, Griffith University, Australia.</w:t>
      </w:r>
    </w:p>
    <w:p w:rsidR="00F807C8" w:rsidRPr="00F807C8" w:rsidRDefault="00F807C8" w:rsidP="00F807C8">
      <w:pPr>
        <w:pStyle w:val="ReferenceText"/>
        <w:spacing w:before="0"/>
        <w:ind w:left="567" w:hanging="567"/>
      </w:pPr>
      <w:r w:rsidRPr="00F807C8">
        <w:t xml:space="preserve">Sadler, D. R. (2005) Interpretations of criteria-based assessment and grading in higher education, </w:t>
      </w:r>
      <w:r w:rsidRPr="00F807C8">
        <w:rPr>
          <w:i/>
          <w:iCs/>
        </w:rPr>
        <w:t>Assessment and Evaluation in Higher Education</w:t>
      </w:r>
      <w:r w:rsidRPr="00F807C8">
        <w:t>, 30: 175–94.</w:t>
      </w:r>
    </w:p>
    <w:p w:rsidR="00F807C8" w:rsidRPr="00F807C8" w:rsidRDefault="00F807C8" w:rsidP="00F807C8">
      <w:pPr>
        <w:pStyle w:val="ReferenceText"/>
        <w:spacing w:before="0"/>
        <w:ind w:left="567" w:hanging="567"/>
      </w:pPr>
      <w:r w:rsidRPr="00F807C8">
        <w:lastRenderedPageBreak/>
        <w:t xml:space="preserve">Sadler, D. R. (2007) Perils in the meticulous specification of goals and assessment criteria, </w:t>
      </w:r>
      <w:r w:rsidRPr="00F807C8">
        <w:rPr>
          <w:i/>
          <w:iCs/>
        </w:rPr>
        <w:t>Assessment in Education: Principles, Policy and Practice</w:t>
      </w:r>
      <w:r w:rsidRPr="00F807C8">
        <w:t>, 14: 387–92.</w:t>
      </w:r>
    </w:p>
    <w:p w:rsidR="00F807C8" w:rsidRPr="00F807C8" w:rsidRDefault="00F807C8" w:rsidP="00F807C8">
      <w:pPr>
        <w:pStyle w:val="ReferenceText"/>
        <w:spacing w:before="0"/>
        <w:ind w:left="567" w:hanging="567"/>
        <w:rPr>
          <w:bCs/>
        </w:rPr>
      </w:pPr>
      <w:r w:rsidRPr="00F807C8">
        <w:t xml:space="preserve">Sadler, D. R. (2009b) Indeterminacy in the use of preset criteria for assessment and grading, </w:t>
      </w:r>
      <w:r w:rsidRPr="00F807C8">
        <w:rPr>
          <w:i/>
          <w:iCs/>
        </w:rPr>
        <w:t>Assessment and Evaluation in Higher Education</w:t>
      </w:r>
      <w:r w:rsidRPr="00F807C8">
        <w:t>, 34(2): 159–79.</w:t>
      </w:r>
      <w:r w:rsidRPr="00F807C8">
        <w:rPr>
          <w:bCs/>
        </w:rPr>
        <w:t xml:space="preserve"> </w:t>
      </w:r>
    </w:p>
    <w:p w:rsidR="00F807C8" w:rsidRPr="00F807C8" w:rsidRDefault="00F807C8" w:rsidP="00F807C8">
      <w:pPr>
        <w:pStyle w:val="ReferenceText"/>
        <w:spacing w:before="0"/>
        <w:ind w:left="567" w:hanging="567"/>
      </w:pPr>
      <w:r w:rsidRPr="00F807C8">
        <w:rPr>
          <w:bCs/>
        </w:rPr>
        <w:t>Sadler, D. R. (2010) Beyond feedback:</w:t>
      </w:r>
      <w:r w:rsidR="00186A9E">
        <w:rPr>
          <w:bCs/>
        </w:rPr>
        <w:t xml:space="preserve"> </w:t>
      </w:r>
      <w:r w:rsidRPr="00F807C8">
        <w:rPr>
          <w:bCs/>
        </w:rPr>
        <w:t xml:space="preserve">Developing student capability in complex appraisal. </w:t>
      </w:r>
      <w:r w:rsidRPr="00F807C8">
        <w:rPr>
          <w:bCs/>
          <w:i/>
          <w:iCs/>
        </w:rPr>
        <w:t>Assessment &amp; Evaluation in Higher Education, 35</w:t>
      </w:r>
      <w:r w:rsidRPr="00F807C8">
        <w:rPr>
          <w:bCs/>
        </w:rPr>
        <w:t>(5), 535-550.</w:t>
      </w:r>
    </w:p>
    <w:p w:rsidR="00F807C8" w:rsidRPr="00F807C8" w:rsidRDefault="00F807C8" w:rsidP="00F807C8">
      <w:pPr>
        <w:spacing w:after="120"/>
        <w:ind w:left="567" w:right="-20" w:hanging="567"/>
        <w:contextualSpacing/>
        <w:rPr>
          <w:rFonts w:eastAsia="Times New Roman"/>
          <w:iCs/>
          <w:lang w:val="en-AU"/>
        </w:rPr>
      </w:pPr>
      <w:r w:rsidRPr="00F807C8">
        <w:rPr>
          <w:rFonts w:eastAsia="Times New Roman"/>
          <w:lang w:val="en-AU"/>
        </w:rPr>
        <w:t xml:space="preserve">Sadler, D. R. (2010b) Fidelity as a precondition for integrity in grading academic achievement. </w:t>
      </w:r>
      <w:r w:rsidRPr="00F807C8">
        <w:rPr>
          <w:rFonts w:eastAsia="Times New Roman"/>
          <w:i/>
          <w:iCs/>
          <w:lang w:val="en-AU"/>
        </w:rPr>
        <w:t>Assessment and Evaluation in Higher Education</w:t>
      </w:r>
      <w:r w:rsidRPr="00F807C8">
        <w:rPr>
          <w:rFonts w:eastAsia="Times New Roman"/>
          <w:iCs/>
          <w:lang w:val="en-AU"/>
        </w:rPr>
        <w:t>, 35, 727</w:t>
      </w:r>
      <w:r w:rsidRPr="00F807C8">
        <w:rPr>
          <w:rFonts w:eastAsia="Times New Roman"/>
          <w:iCs/>
          <w:lang w:val="en-AU"/>
        </w:rPr>
        <w:noBreakHyphen/>
        <w:t>743.</w:t>
      </w:r>
    </w:p>
    <w:p w:rsidR="00F807C8" w:rsidRPr="00F807C8" w:rsidRDefault="00F807C8" w:rsidP="00F807C8">
      <w:pPr>
        <w:spacing w:after="120"/>
        <w:ind w:left="567" w:hanging="567"/>
        <w:rPr>
          <w:bCs/>
        </w:rPr>
      </w:pPr>
      <w:r w:rsidRPr="00F807C8">
        <w:rPr>
          <w:bCs/>
        </w:rPr>
        <w:t xml:space="preserve">Sadler, D. R. (2010c) </w:t>
      </w:r>
      <w:r w:rsidRPr="00F807C8">
        <w:rPr>
          <w:bCs/>
          <w:i/>
        </w:rPr>
        <w:t>Assessment in Higher Education</w:t>
      </w:r>
      <w:r w:rsidRPr="00F807C8">
        <w:rPr>
          <w:bCs/>
        </w:rPr>
        <w:t xml:space="preserve">, in: Peterson, P., Baker, E, and McGaw, B. (Eds), </w:t>
      </w:r>
      <w:r w:rsidRPr="00F807C8">
        <w:rPr>
          <w:bCs/>
          <w:i/>
        </w:rPr>
        <w:t>International Encyclopedia of Education</w:t>
      </w:r>
      <w:r w:rsidRPr="00F807C8">
        <w:rPr>
          <w:bCs/>
        </w:rPr>
        <w:t>, volume 3, pp.249-255, Oxford: Elsevier.</w:t>
      </w:r>
    </w:p>
    <w:p w:rsidR="00F807C8" w:rsidRPr="00F807C8" w:rsidRDefault="00F807C8" w:rsidP="00F807C8">
      <w:pPr>
        <w:tabs>
          <w:tab w:val="left" w:pos="454"/>
        </w:tabs>
        <w:suppressAutoHyphens/>
        <w:spacing w:after="120"/>
        <w:ind w:left="567" w:hanging="567"/>
        <w:contextualSpacing/>
      </w:pPr>
      <w:r w:rsidRPr="00F807C8">
        <w:t xml:space="preserve">Sadler, D. R. (2011). Academic freedom, achievement standards and professional identity. </w:t>
      </w:r>
      <w:r w:rsidRPr="00F807C8">
        <w:rPr>
          <w:i/>
          <w:iCs/>
          <w:color w:val="000000"/>
          <w:lang w:eastAsia="en-AU"/>
        </w:rPr>
        <w:t xml:space="preserve">Quality in Higher Education, </w:t>
      </w:r>
      <w:r w:rsidRPr="00F807C8">
        <w:rPr>
          <w:iCs/>
          <w:color w:val="000000"/>
          <w:lang w:eastAsia="en-AU"/>
        </w:rPr>
        <w:t>17, 103-118.</w:t>
      </w:r>
    </w:p>
    <w:p w:rsidR="00F807C8" w:rsidRPr="00F807C8" w:rsidRDefault="00F807C8" w:rsidP="00F807C8">
      <w:pPr>
        <w:spacing w:after="120"/>
        <w:ind w:left="567" w:hanging="567"/>
        <w:contextualSpacing/>
        <w:rPr>
          <w:color w:val="000000"/>
          <w:lang w:eastAsia="en-AU"/>
        </w:rPr>
      </w:pPr>
      <w:r w:rsidRPr="00F807C8">
        <w:t xml:space="preserve">Sadler, D. R. (2013a). Making competent judgments of competence. In </w:t>
      </w:r>
      <w:r w:rsidRPr="00F807C8">
        <w:rPr>
          <w:rStyle w:val="Emphasis"/>
          <w:lang w:val="en-US"/>
        </w:rPr>
        <w:t>Blömeke, S., Zlatkin-</w:t>
      </w:r>
      <w:r w:rsidRPr="00F807C8">
        <w:rPr>
          <w:rFonts w:cs="Calibri"/>
          <w:iCs/>
          <w:color w:val="000000"/>
        </w:rPr>
        <w:t>Troitschanskaia</w:t>
      </w:r>
      <w:r w:rsidRPr="00F807C8">
        <w:rPr>
          <w:rStyle w:val="Emphasis"/>
          <w:lang w:val="en-US"/>
        </w:rPr>
        <w:t>, O., Kuhn, C. &amp; Fege, J. (Eds.)</w:t>
      </w:r>
      <w:r w:rsidRPr="00F807C8">
        <w:rPr>
          <w:lang w:val="en-US"/>
        </w:rPr>
        <w:t xml:space="preserve"> </w:t>
      </w:r>
      <w:r w:rsidRPr="00F807C8">
        <w:rPr>
          <w:i/>
          <w:lang w:val="en-US"/>
        </w:rPr>
        <w:t xml:space="preserve">Modeling and measuring competencies in </w:t>
      </w:r>
      <w:r w:rsidRPr="00F807C8">
        <w:rPr>
          <w:i/>
          <w:iCs/>
          <w:color w:val="000000"/>
          <w:lang w:eastAsia="en-AU"/>
        </w:rPr>
        <w:t>higher</w:t>
      </w:r>
      <w:r w:rsidRPr="00F807C8">
        <w:rPr>
          <w:i/>
          <w:lang w:val="en-US"/>
        </w:rPr>
        <w:t xml:space="preserve"> education: Tasks and challenges</w:t>
      </w:r>
      <w:r w:rsidRPr="00F807C8">
        <w:rPr>
          <w:lang w:val="en-US"/>
        </w:rPr>
        <w:t xml:space="preserve">. Rotterdam: Sense Publishers. </w:t>
      </w:r>
      <w:r w:rsidRPr="00F807C8">
        <w:rPr>
          <w:color w:val="000000"/>
          <w:lang w:eastAsia="en-AU"/>
        </w:rPr>
        <w:t>(Ch. 1, 13</w:t>
      </w:r>
      <w:r w:rsidRPr="00F807C8">
        <w:rPr>
          <w:color w:val="000000"/>
          <w:lang w:eastAsia="en-AU"/>
        </w:rPr>
        <w:noBreakHyphen/>
        <w:t>27)</w:t>
      </w:r>
    </w:p>
    <w:p w:rsidR="00F807C8" w:rsidRPr="00F807C8" w:rsidRDefault="00F807C8" w:rsidP="00F807C8">
      <w:pPr>
        <w:tabs>
          <w:tab w:val="left" w:pos="454"/>
        </w:tabs>
        <w:suppressAutoHyphens/>
        <w:spacing w:after="120"/>
        <w:ind w:left="567" w:hanging="567"/>
        <w:contextualSpacing/>
        <w:rPr>
          <w:color w:val="000000"/>
        </w:rPr>
      </w:pPr>
      <w:r w:rsidRPr="00F807C8">
        <w:rPr>
          <w:color w:val="000000"/>
        </w:rPr>
        <w:t xml:space="preserve">Sadler, D. R. (2013b). Opening up feedback: Teaching learners to see. In Merry, S., Price, M., Carless, D., &amp; Taras, M. (Eds.) </w:t>
      </w:r>
      <w:r w:rsidRPr="00F807C8">
        <w:rPr>
          <w:i/>
          <w:color w:val="000000"/>
        </w:rPr>
        <w:t>Reconceptualising feedback in higher education: Developing dialogue with students</w:t>
      </w:r>
      <w:r w:rsidRPr="00F807C8">
        <w:rPr>
          <w:color w:val="000000"/>
        </w:rPr>
        <w:t>. (Ch. 5, 54</w:t>
      </w:r>
      <w:r w:rsidRPr="00F807C8">
        <w:rPr>
          <w:color w:val="000000"/>
        </w:rPr>
        <w:noBreakHyphen/>
        <w:t>63). London: Routledge.</w:t>
      </w:r>
    </w:p>
    <w:p w:rsidR="00F807C8" w:rsidRPr="00F807C8" w:rsidRDefault="00F807C8" w:rsidP="00F807C8">
      <w:pPr>
        <w:tabs>
          <w:tab w:val="left" w:pos="454"/>
        </w:tabs>
        <w:suppressAutoHyphens/>
        <w:spacing w:after="120"/>
        <w:ind w:left="567" w:hanging="567"/>
        <w:contextualSpacing/>
        <w:rPr>
          <w:color w:val="000000"/>
          <w:lang w:eastAsia="en-AU"/>
        </w:rPr>
      </w:pPr>
      <w:r w:rsidRPr="00F807C8">
        <w:rPr>
          <w:color w:val="000000"/>
        </w:rPr>
        <w:t xml:space="preserve">Sadler, D. R. (2014) </w:t>
      </w:r>
      <w:r w:rsidRPr="00F807C8">
        <w:rPr>
          <w:color w:val="000000"/>
          <w:lang w:eastAsia="en-AU"/>
        </w:rPr>
        <w:t xml:space="preserve">The futility of attempting to codify academic achievement standards, </w:t>
      </w:r>
      <w:r w:rsidRPr="00F807C8">
        <w:rPr>
          <w:i/>
          <w:color w:val="000000"/>
          <w:lang w:eastAsia="en-AU"/>
        </w:rPr>
        <w:t>Higher Education</w:t>
      </w:r>
      <w:r w:rsidRPr="00F807C8">
        <w:rPr>
          <w:color w:val="000000"/>
          <w:lang w:eastAsia="en-AU"/>
        </w:rPr>
        <w:t>, 67, 273-288.</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Sambell, K. (2013) </w:t>
      </w:r>
      <w:r w:rsidRPr="00F807C8">
        <w:rPr>
          <w:rFonts w:cstheme="minorHAnsi"/>
          <w:bCs/>
          <w:i/>
          <w:color w:val="000000"/>
        </w:rPr>
        <w:t>Engaging Students Through Assessment</w:t>
      </w:r>
      <w:r w:rsidRPr="00F807C8">
        <w:rPr>
          <w:rFonts w:cstheme="minorHAnsi"/>
          <w:bCs/>
          <w:color w:val="000000"/>
        </w:rPr>
        <w:t xml:space="preserve">, In Dunne, E. And Owen, D (eds) </w:t>
      </w:r>
      <w:r w:rsidRPr="00F807C8">
        <w:rPr>
          <w:rFonts w:cstheme="minorHAnsi"/>
          <w:bCs/>
          <w:i/>
          <w:iCs/>
          <w:color w:val="000000"/>
        </w:rPr>
        <w:t>The Student Engagement Handbook: Practice in Higher Education</w:t>
      </w:r>
      <w:r w:rsidRPr="00F807C8">
        <w:rPr>
          <w:rFonts w:cstheme="minorHAnsi"/>
          <w:bCs/>
          <w:color w:val="000000"/>
        </w:rPr>
        <w:t>, Bingley, UK: Emerald.</w:t>
      </w:r>
    </w:p>
    <w:p w:rsidR="00F807C8" w:rsidRPr="00F807C8" w:rsidRDefault="00F807C8" w:rsidP="00F807C8">
      <w:pPr>
        <w:spacing w:after="120"/>
        <w:ind w:left="567" w:hanging="567"/>
        <w:rPr>
          <w:rFonts w:cstheme="minorHAnsi"/>
          <w:bCs/>
          <w:color w:val="000000"/>
        </w:rPr>
      </w:pPr>
      <w:r w:rsidRPr="00F807C8">
        <w:rPr>
          <w:rFonts w:cstheme="minorHAnsi"/>
          <w:bCs/>
          <w:color w:val="000000"/>
        </w:rPr>
        <w:t>Sambell, K. and Hubbard, A. (2004) The Role of Formative ‘Low-stakes’ Assessment in Supporting Non-traditional Students' Retention and Progression in Higher Education: Student Perspectives, </w:t>
      </w:r>
      <w:r w:rsidRPr="00F807C8">
        <w:rPr>
          <w:rFonts w:cstheme="minorHAnsi"/>
          <w:bCs/>
          <w:i/>
          <w:iCs/>
          <w:color w:val="000000"/>
        </w:rPr>
        <w:t>Widening Participation and Lifelong Learning</w:t>
      </w:r>
      <w:r w:rsidRPr="00F807C8">
        <w:rPr>
          <w:rFonts w:cstheme="minorHAnsi"/>
          <w:bCs/>
          <w:color w:val="000000"/>
        </w:rPr>
        <w:t> 6.2: 25-36.</w:t>
      </w:r>
    </w:p>
    <w:p w:rsidR="00F807C8" w:rsidRPr="00F807C8" w:rsidRDefault="00F807C8" w:rsidP="00F807C8">
      <w:pPr>
        <w:spacing w:after="120"/>
        <w:ind w:left="567" w:hanging="567"/>
        <w:rPr>
          <w:rFonts w:cstheme="minorHAnsi"/>
          <w:bCs/>
          <w:color w:val="000000"/>
        </w:rPr>
      </w:pPr>
      <w:r w:rsidRPr="00F807C8">
        <w:rPr>
          <w:rFonts w:cstheme="minorHAnsi"/>
          <w:bCs/>
          <w:color w:val="000000"/>
        </w:rPr>
        <w:t xml:space="preserve">Sambell, K., McDowell, L. and Brown, S. (1997) “But is it fair?”: An exploratory study of student perceptions of the consequential validity of assessment, </w:t>
      </w:r>
      <w:r w:rsidRPr="00F807C8">
        <w:rPr>
          <w:rFonts w:cstheme="minorHAnsi"/>
          <w:bCs/>
          <w:i/>
          <w:iCs/>
          <w:color w:val="000000"/>
        </w:rPr>
        <w:t>Studies in Educational Evaluation</w:t>
      </w:r>
      <w:r w:rsidRPr="00F807C8">
        <w:rPr>
          <w:rFonts w:cstheme="minorHAnsi"/>
          <w:bCs/>
          <w:color w:val="000000"/>
        </w:rPr>
        <w:t> 23.4 349-371.</w:t>
      </w:r>
    </w:p>
    <w:p w:rsidR="00F807C8" w:rsidRPr="00F807C8" w:rsidRDefault="00F807C8" w:rsidP="00F807C8">
      <w:pPr>
        <w:spacing w:after="120"/>
        <w:ind w:left="567" w:hanging="567"/>
      </w:pPr>
      <w:r w:rsidRPr="00F807C8">
        <w:rPr>
          <w:bCs/>
        </w:rPr>
        <w:t xml:space="preserve">Sambell, K., McDowell, L. and Montgomery, C. (2012) </w:t>
      </w:r>
      <w:r w:rsidRPr="00F807C8">
        <w:rPr>
          <w:bCs/>
          <w:i/>
          <w:iCs/>
        </w:rPr>
        <w:t>Assessment for Learning in Higher Education</w:t>
      </w:r>
      <w:r w:rsidRPr="00F807C8">
        <w:rPr>
          <w:bCs/>
        </w:rPr>
        <w:t xml:space="preserve"> Abingdon, Routledge</w:t>
      </w:r>
    </w:p>
    <w:p w:rsidR="00F807C8" w:rsidRPr="00F807C8" w:rsidRDefault="00F807C8" w:rsidP="00F807C8">
      <w:pPr>
        <w:pStyle w:val="ReferenceText"/>
        <w:spacing w:before="0"/>
        <w:ind w:left="567" w:hanging="567"/>
      </w:pPr>
      <w:r w:rsidRPr="00F807C8">
        <w:t xml:space="preserve">Soundsgood (2010) </w:t>
      </w:r>
      <w:hyperlink r:id="rId23" w:history="1">
        <w:r w:rsidRPr="00F807C8">
          <w:rPr>
            <w:rStyle w:val="Hyperlink"/>
          </w:rPr>
          <w:t>https://sites.google.com/site/soundsgooduk/</w:t>
        </w:r>
      </w:hyperlink>
      <w:r w:rsidRPr="00F807C8">
        <w:t xml:space="preserve"> .</w:t>
      </w:r>
      <w:r w:rsidR="00186A9E">
        <w:t xml:space="preserve"> </w:t>
      </w:r>
    </w:p>
    <w:p w:rsidR="00F807C8" w:rsidRPr="00CE777C" w:rsidRDefault="00F807C8" w:rsidP="00F807C8">
      <w:pPr>
        <w:spacing w:after="120"/>
        <w:ind w:left="567" w:hanging="567"/>
      </w:pPr>
      <w:r w:rsidRPr="00CE777C">
        <w:rPr>
          <w:bCs/>
        </w:rPr>
        <w:t xml:space="preserve">Stefani, L. and Carroll, J. (2001) </w:t>
      </w:r>
      <w:r w:rsidRPr="00CE777C">
        <w:rPr>
          <w:bCs/>
          <w:i/>
          <w:iCs/>
        </w:rPr>
        <w:t xml:space="preserve">A Briefing on Plagiarism </w:t>
      </w:r>
      <w:hyperlink r:id="rId24" w:history="1">
        <w:r w:rsidRPr="00CE777C">
          <w:rPr>
            <w:rStyle w:val="Hyperlink"/>
            <w:bCs/>
          </w:rPr>
          <w:t>http://www.ltsn.ac.uk/application.asp?app=resources.asp&amp;process=full_record&amp;section=generic&amp;id=10</w:t>
        </w:r>
      </w:hyperlink>
      <w:r w:rsidRPr="00CE777C">
        <w:rPr>
          <w:bCs/>
        </w:rPr>
        <w:t xml:space="preserve"> </w:t>
      </w:r>
    </w:p>
    <w:p w:rsidR="00F807C8" w:rsidRPr="00CE777C" w:rsidRDefault="00F807C8" w:rsidP="00F807C8">
      <w:pPr>
        <w:pStyle w:val="ReferenceText"/>
        <w:spacing w:before="0"/>
        <w:ind w:left="567" w:hanging="567"/>
      </w:pPr>
      <w:r w:rsidRPr="00CE777C">
        <w:t>Stowell, N. (2001) ‘Equity, justice and standards: assessment decision making in higher education’, paper presented at the SRHE Annual Conference, University of Cambridge (</w:t>
      </w:r>
      <w:r w:rsidRPr="00CE777C">
        <w:rPr>
          <w:i/>
          <w:iCs/>
        </w:rPr>
        <w:t>mimeo</w:t>
      </w:r>
      <w:r w:rsidRPr="00CE777C">
        <w:t>).</w:t>
      </w:r>
    </w:p>
    <w:p w:rsidR="00F807C8" w:rsidRDefault="00F807C8" w:rsidP="00F807C8">
      <w:pPr>
        <w:autoSpaceDE w:val="0"/>
        <w:autoSpaceDN w:val="0"/>
        <w:adjustRightInd w:val="0"/>
        <w:spacing w:after="120"/>
        <w:ind w:left="567" w:hanging="567"/>
        <w:rPr>
          <w:color w:val="0563C1" w:themeColor="hyperlink"/>
          <w:u w:val="single"/>
        </w:rPr>
      </w:pPr>
      <w:r w:rsidRPr="00CE777C">
        <w:t xml:space="preserve">Turnitin website </w:t>
      </w:r>
      <w:hyperlink r:id="rId25" w:history="1">
        <w:r w:rsidRPr="00CE777C">
          <w:rPr>
            <w:color w:val="0563C1" w:themeColor="hyperlink"/>
            <w:u w:val="single"/>
          </w:rPr>
          <w:t>http://turnitin.com/en_us/features/overview</w:t>
        </w:r>
      </w:hyperlink>
    </w:p>
    <w:p w:rsidR="00BE3807" w:rsidRPr="00CE777C" w:rsidRDefault="00BE3807" w:rsidP="00BE3807">
      <w:pPr>
        <w:pStyle w:val="ReferenceText"/>
        <w:spacing w:before="0"/>
        <w:ind w:left="567" w:hanging="567"/>
      </w:pPr>
      <w:r w:rsidRPr="00CE777C">
        <w:t xml:space="preserve">Yorke, M. (2002) ‘Academic failure: a retrospective view from non-completing students’, in M. Peelo and T. Wareham (eds), </w:t>
      </w:r>
      <w:r w:rsidRPr="00CE777C">
        <w:rPr>
          <w:i/>
          <w:iCs/>
        </w:rPr>
        <w:t>Failing Students in Higher Education</w:t>
      </w:r>
      <w:r w:rsidRPr="00CE777C">
        <w:t>. Buckingham: SRHE/Open University Press.</w:t>
      </w:r>
    </w:p>
    <w:sectPr w:rsidR="00BE3807" w:rsidRPr="00CE77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46" w:rsidRDefault="00712546" w:rsidP="00186A9E">
      <w:pPr>
        <w:spacing w:after="0" w:line="240" w:lineRule="auto"/>
      </w:pPr>
      <w:r>
        <w:separator/>
      </w:r>
    </w:p>
  </w:endnote>
  <w:endnote w:type="continuationSeparator" w:id="0">
    <w:p w:rsidR="00712546" w:rsidRDefault="00712546" w:rsidP="00186A9E">
      <w:pPr>
        <w:spacing w:after="0" w:line="240" w:lineRule="auto"/>
      </w:pPr>
      <w:r>
        <w:continuationSeparator/>
      </w:r>
    </w:p>
  </w:endnote>
  <w:endnote w:id="1">
    <w:p w:rsidR="00186A9E" w:rsidRPr="00D754B1" w:rsidRDefault="00186A9E" w:rsidP="00D754B1">
      <w:pPr>
        <w:spacing w:after="0" w:line="240" w:lineRule="auto"/>
        <w:rPr>
          <w:rFonts w:cs="Arial"/>
          <w:color w:val="222222"/>
          <w:sz w:val="24"/>
          <w:szCs w:val="24"/>
          <w:shd w:val="clear" w:color="auto" w:fill="FFFFFF"/>
        </w:rPr>
      </w:pPr>
      <w:r>
        <w:rPr>
          <w:rStyle w:val="EndnoteReference"/>
        </w:rPr>
        <w:endnoteRef/>
      </w:r>
      <w:r>
        <w:t xml:space="preserve"> </w:t>
      </w:r>
      <w:r>
        <w:rPr>
          <w:rFonts w:cs="Arial"/>
          <w:color w:val="222222"/>
          <w:sz w:val="24"/>
          <w:szCs w:val="24"/>
          <w:shd w:val="clear" w:color="auto" w:fill="FFFFFF"/>
        </w:rPr>
        <w:t>see Price et al 2012</w:t>
      </w:r>
    </w:p>
  </w:endnote>
  <w:endnote w:id="2">
    <w:p w:rsidR="00186A9E" w:rsidRDefault="00186A9E" w:rsidP="00D754B1">
      <w:pPr>
        <w:pStyle w:val="EndnoteText"/>
      </w:pPr>
      <w:r>
        <w:rPr>
          <w:rStyle w:val="EndnoteReference"/>
        </w:rPr>
        <w:endnoteRef/>
      </w:r>
      <w:r>
        <w:t xml:space="preserve"> </w:t>
      </w:r>
      <w:r w:rsidRPr="00186A9E">
        <w:rPr>
          <w:rFonts w:cs="Arial"/>
          <w:color w:val="222222"/>
          <w:sz w:val="24"/>
          <w:szCs w:val="24"/>
          <w:shd w:val="clear" w:color="auto" w:fill="FFFFFF"/>
        </w:rPr>
        <w:t>as suggested by Brown, 2015</w:t>
      </w:r>
    </w:p>
  </w:endnote>
  <w:endnote w:id="3">
    <w:p w:rsidR="00186A9E" w:rsidRDefault="00186A9E" w:rsidP="00D754B1">
      <w:pPr>
        <w:pStyle w:val="EndnoteText"/>
      </w:pPr>
      <w:r>
        <w:rPr>
          <w:rStyle w:val="EndnoteReference"/>
        </w:rPr>
        <w:endnoteRef/>
      </w:r>
      <w:r>
        <w:t xml:space="preserve"> </w:t>
      </w:r>
      <w:r>
        <w:rPr>
          <w:rFonts w:cs="Arial"/>
          <w:color w:val="222222"/>
          <w:sz w:val="24"/>
          <w:szCs w:val="24"/>
          <w:shd w:val="clear" w:color="auto" w:fill="FFFFFF"/>
        </w:rPr>
        <w:t>as advised by Race, 2001</w:t>
      </w:r>
    </w:p>
  </w:endnote>
  <w:endnote w:id="4">
    <w:p w:rsidR="00186A9E" w:rsidRDefault="00186A9E" w:rsidP="00D754B1">
      <w:pPr>
        <w:pStyle w:val="EndnoteText"/>
      </w:pPr>
      <w:r>
        <w:rPr>
          <w:rStyle w:val="EndnoteReference"/>
        </w:rPr>
        <w:endnoteRef/>
      </w:r>
      <w:r>
        <w:t xml:space="preserve"> </w:t>
      </w:r>
      <w:r>
        <w:rPr>
          <w:rFonts w:cs="Arial"/>
          <w:color w:val="222222"/>
          <w:sz w:val="24"/>
          <w:szCs w:val="24"/>
          <w:shd w:val="clear" w:color="auto" w:fill="FFFFFF"/>
        </w:rPr>
        <w:t xml:space="preserve">see, for example, </w:t>
      </w:r>
      <w:r w:rsidRPr="004E5C99">
        <w:rPr>
          <w:rFonts w:cs="Arial"/>
          <w:color w:val="222222"/>
          <w:sz w:val="24"/>
          <w:szCs w:val="24"/>
          <w:shd w:val="clear" w:color="auto" w:fill="FFFFFF"/>
        </w:rPr>
        <w:t>Sadler, 1989</w:t>
      </w:r>
    </w:p>
  </w:endnote>
  <w:endnote w:id="5">
    <w:p w:rsidR="009D65AE" w:rsidRDefault="009D65AE" w:rsidP="00D754B1">
      <w:pPr>
        <w:pStyle w:val="EndnoteText"/>
      </w:pPr>
      <w:r>
        <w:rPr>
          <w:rStyle w:val="EndnoteReference"/>
        </w:rPr>
        <w:endnoteRef/>
      </w:r>
      <w:r>
        <w:t xml:space="preserve"> </w:t>
      </w:r>
      <w:r w:rsidRPr="00186A9E">
        <w:rPr>
          <w:rFonts w:cs="Arial"/>
          <w:color w:val="222222"/>
          <w:sz w:val="24"/>
          <w:szCs w:val="24"/>
          <w:shd w:val="clear" w:color="auto" w:fill="FFFFFF"/>
        </w:rPr>
        <w:t>As proposed by</w:t>
      </w:r>
      <w:r>
        <w:rPr>
          <w:rFonts w:cs="Arial"/>
          <w:color w:val="222222"/>
          <w:sz w:val="24"/>
          <w:szCs w:val="24"/>
          <w:shd w:val="clear" w:color="auto" w:fill="FFFFFF"/>
        </w:rPr>
        <w:t xml:space="preserve"> Sadler, 2010</w:t>
      </w:r>
    </w:p>
  </w:endnote>
  <w:endnote w:id="6">
    <w:p w:rsidR="009D65AE" w:rsidRDefault="009D65AE" w:rsidP="00D754B1">
      <w:pPr>
        <w:pStyle w:val="EndnoteText"/>
      </w:pPr>
      <w:r>
        <w:rPr>
          <w:rStyle w:val="EndnoteReference"/>
        </w:rPr>
        <w:endnoteRef/>
      </w:r>
      <w:r>
        <w:t xml:space="preserve"> </w:t>
      </w:r>
      <w:r>
        <w:rPr>
          <w:rFonts w:cs="Arial"/>
          <w:color w:val="222222"/>
          <w:sz w:val="24"/>
          <w:szCs w:val="24"/>
          <w:shd w:val="clear" w:color="auto" w:fill="FFFFFF"/>
        </w:rPr>
        <w:t>s</w:t>
      </w:r>
      <w:r>
        <w:rPr>
          <w:rFonts w:cs="Arial"/>
          <w:color w:val="222222"/>
          <w:sz w:val="24"/>
          <w:szCs w:val="24"/>
          <w:shd w:val="clear" w:color="auto" w:fill="FFFFFF"/>
        </w:rPr>
        <w:t>ee for example, Falchikov, 2004</w:t>
      </w:r>
    </w:p>
  </w:endnote>
  <w:endnote w:id="7">
    <w:p w:rsidR="009D65AE" w:rsidRDefault="009D65AE" w:rsidP="00D754B1">
      <w:pPr>
        <w:pStyle w:val="EndnoteText"/>
      </w:pPr>
      <w:r>
        <w:rPr>
          <w:rStyle w:val="EndnoteReference"/>
        </w:rPr>
        <w:endnoteRef/>
      </w:r>
      <w:r>
        <w:t xml:space="preserve"> </w:t>
      </w:r>
      <w:r>
        <w:rPr>
          <w:rFonts w:cs="Arial"/>
          <w:color w:val="222222"/>
          <w:sz w:val="24"/>
          <w:szCs w:val="24"/>
          <w:shd w:val="clear" w:color="auto" w:fill="FFFFFF"/>
        </w:rPr>
        <w:t>Brown, 2015</w:t>
      </w:r>
    </w:p>
  </w:endnote>
  <w:endnote w:id="8">
    <w:p w:rsidR="009D65AE" w:rsidRPr="00D754B1" w:rsidRDefault="009D65AE" w:rsidP="00D754B1">
      <w:pPr>
        <w:spacing w:after="0" w:line="240" w:lineRule="auto"/>
        <w:rPr>
          <w:rFonts w:cs="Arial"/>
          <w:color w:val="222222"/>
          <w:sz w:val="24"/>
          <w:szCs w:val="24"/>
          <w:shd w:val="clear" w:color="auto" w:fill="FFFFFF"/>
        </w:rPr>
      </w:pPr>
      <w:r>
        <w:rPr>
          <w:rStyle w:val="EndnoteReference"/>
        </w:rPr>
        <w:endnoteRef/>
      </w:r>
      <w:r>
        <w:t xml:space="preserve"> </w:t>
      </w:r>
      <w:r w:rsidRPr="009D65AE">
        <w:rPr>
          <w:rFonts w:cs="Arial"/>
          <w:color w:val="222222"/>
          <w:sz w:val="24"/>
          <w:szCs w:val="24"/>
          <w:shd w:val="clear" w:color="auto" w:fill="FFFFFF"/>
        </w:rPr>
        <w:t>Nicol and McFarlane-Dick, 2006</w:t>
      </w:r>
    </w:p>
  </w:endnote>
  <w:endnote w:id="9">
    <w:p w:rsidR="009D65AE" w:rsidRDefault="009D65AE" w:rsidP="00D754B1">
      <w:pPr>
        <w:pStyle w:val="EndnoteText"/>
      </w:pPr>
      <w:r>
        <w:rPr>
          <w:rStyle w:val="EndnoteReference"/>
        </w:rPr>
        <w:endnoteRef/>
      </w:r>
      <w:r>
        <w:t xml:space="preserve"> </w:t>
      </w:r>
      <w:r>
        <w:rPr>
          <w:rFonts w:cs="Arial"/>
          <w:color w:val="222222"/>
          <w:sz w:val="24"/>
          <w:szCs w:val="24"/>
          <w:shd w:val="clear" w:color="auto" w:fill="FFFFFF"/>
        </w:rPr>
        <w:t>Brown, 2015</w:t>
      </w:r>
    </w:p>
  </w:endnote>
  <w:endnote w:id="10">
    <w:p w:rsidR="009D65AE" w:rsidRDefault="009D65AE" w:rsidP="00D754B1">
      <w:pPr>
        <w:pStyle w:val="EndnoteText"/>
      </w:pPr>
      <w:r>
        <w:rPr>
          <w:rStyle w:val="EndnoteReference"/>
        </w:rPr>
        <w:endnoteRef/>
      </w:r>
      <w:r>
        <w:t xml:space="preserve"> </w:t>
      </w:r>
      <w:r>
        <w:rPr>
          <w:rFonts w:cs="Arial"/>
          <w:color w:val="222222"/>
          <w:sz w:val="24"/>
          <w:szCs w:val="24"/>
          <w:shd w:val="clear" w:color="auto" w:fill="FFFFFF"/>
        </w:rPr>
        <w:t>Brown, 2015</w:t>
      </w:r>
    </w:p>
  </w:endnote>
  <w:endnote w:id="11">
    <w:p w:rsidR="009D65AE" w:rsidRDefault="009D65AE" w:rsidP="00D754B1">
      <w:pPr>
        <w:pStyle w:val="EndnoteText"/>
      </w:pPr>
      <w:r>
        <w:rPr>
          <w:rStyle w:val="EndnoteReference"/>
        </w:rPr>
        <w:endnoteRef/>
      </w:r>
      <w:r>
        <w:t xml:space="preserve"> </w:t>
      </w:r>
      <w:r>
        <w:rPr>
          <w:rFonts w:cs="Arial"/>
          <w:color w:val="222222"/>
          <w:sz w:val="24"/>
          <w:szCs w:val="24"/>
          <w:shd w:val="clear" w:color="auto" w:fill="FFFFFF"/>
        </w:rPr>
        <w:t>Race, 2014</w:t>
      </w:r>
    </w:p>
  </w:endnote>
  <w:endnote w:id="12">
    <w:p w:rsidR="009D65AE" w:rsidRDefault="009D65AE" w:rsidP="00D754B1">
      <w:pPr>
        <w:pStyle w:val="EndnoteText"/>
      </w:pPr>
      <w:r>
        <w:rPr>
          <w:rStyle w:val="EndnoteReference"/>
        </w:rPr>
        <w:endnoteRef/>
      </w:r>
      <w:r>
        <w:t xml:space="preserve"> </w:t>
      </w:r>
      <w:r>
        <w:rPr>
          <w:rFonts w:cs="Arial"/>
          <w:color w:val="222222"/>
          <w:sz w:val="24"/>
          <w:szCs w:val="24"/>
          <w:shd w:val="clear" w:color="auto" w:fill="FFFFFF"/>
        </w:rPr>
        <w:t>Sadler, 2010</w:t>
      </w:r>
    </w:p>
  </w:endnote>
  <w:endnote w:id="13">
    <w:p w:rsidR="00D754B1" w:rsidRDefault="00D754B1" w:rsidP="00D754B1">
      <w:pPr>
        <w:pStyle w:val="EndnoteText"/>
      </w:pPr>
      <w:r>
        <w:rPr>
          <w:rStyle w:val="EndnoteReference"/>
        </w:rPr>
        <w:endnoteRef/>
      </w:r>
      <w:r>
        <w:t xml:space="preserve"> </w:t>
      </w:r>
      <w:r>
        <w:rPr>
          <w:rFonts w:cs="Arial"/>
          <w:color w:val="222222"/>
          <w:sz w:val="24"/>
          <w:szCs w:val="24"/>
          <w:shd w:val="clear" w:color="auto" w:fill="FFFFFF"/>
        </w:rPr>
        <w:t>Sadler, 2010</w:t>
      </w:r>
    </w:p>
  </w:endnote>
  <w:endnote w:id="14">
    <w:p w:rsidR="00D754B1" w:rsidRDefault="00D754B1" w:rsidP="00D754B1">
      <w:pPr>
        <w:pStyle w:val="EndnoteText"/>
      </w:pPr>
      <w:r>
        <w:rPr>
          <w:rStyle w:val="EndnoteReference"/>
        </w:rPr>
        <w:endnoteRef/>
      </w:r>
      <w:r>
        <w:t xml:space="preserve"> </w:t>
      </w:r>
      <w:r>
        <w:rPr>
          <w:rFonts w:cs="Arial"/>
          <w:color w:val="222222"/>
          <w:sz w:val="24"/>
          <w:szCs w:val="24"/>
          <w:shd w:val="clear" w:color="auto" w:fill="FFFFFF"/>
        </w:rPr>
        <w:t>Pickford and Brown, 2006</w:t>
      </w:r>
    </w:p>
  </w:endnote>
  <w:endnote w:id="15">
    <w:p w:rsidR="00D754B1" w:rsidRDefault="00D754B1" w:rsidP="00D754B1">
      <w:pPr>
        <w:pStyle w:val="EndnoteText"/>
      </w:pPr>
      <w:r>
        <w:rPr>
          <w:rStyle w:val="EndnoteReference"/>
        </w:rPr>
        <w:endnoteRef/>
      </w:r>
      <w:r>
        <w:t xml:space="preserve"> </w:t>
      </w:r>
      <w:r>
        <w:rPr>
          <w:rFonts w:cs="Arial"/>
          <w:color w:val="222222"/>
          <w:sz w:val="24"/>
          <w:szCs w:val="24"/>
          <w:shd w:val="clear" w:color="auto" w:fill="FFFFFF"/>
        </w:rPr>
        <w:t>see JISC 2007, for example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46" w:rsidRDefault="00712546" w:rsidP="00186A9E">
      <w:pPr>
        <w:spacing w:after="0" w:line="240" w:lineRule="auto"/>
      </w:pPr>
      <w:r>
        <w:separator/>
      </w:r>
    </w:p>
  </w:footnote>
  <w:footnote w:type="continuationSeparator" w:id="0">
    <w:p w:rsidR="00712546" w:rsidRDefault="00712546" w:rsidP="0018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F17D0"/>
    <w:multiLevelType w:val="hybridMultilevel"/>
    <w:tmpl w:val="E8A24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60"/>
    <w:rsid w:val="00025157"/>
    <w:rsid w:val="00186A9E"/>
    <w:rsid w:val="00335C76"/>
    <w:rsid w:val="004E5C99"/>
    <w:rsid w:val="005445E2"/>
    <w:rsid w:val="005C6111"/>
    <w:rsid w:val="00702E1E"/>
    <w:rsid w:val="00712546"/>
    <w:rsid w:val="00882E08"/>
    <w:rsid w:val="00990C45"/>
    <w:rsid w:val="009D65AE"/>
    <w:rsid w:val="009E24CC"/>
    <w:rsid w:val="009E30FE"/>
    <w:rsid w:val="00BE3807"/>
    <w:rsid w:val="00CC4B60"/>
    <w:rsid w:val="00D754B1"/>
    <w:rsid w:val="00DD7867"/>
    <w:rsid w:val="00E71D16"/>
    <w:rsid w:val="00E75961"/>
    <w:rsid w:val="00F8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371E"/>
  <w15:chartTrackingRefBased/>
  <w15:docId w15:val="{AAB3C9E9-19D6-419E-ACE3-2FD0AA7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C99"/>
    <w:pPr>
      <w:ind w:left="720"/>
      <w:contextualSpacing/>
    </w:pPr>
  </w:style>
  <w:style w:type="character" w:styleId="Hyperlink">
    <w:name w:val="Hyperlink"/>
    <w:basedOn w:val="DefaultParagraphFont"/>
    <w:uiPriority w:val="99"/>
    <w:unhideWhenUsed/>
    <w:rsid w:val="00F807C8"/>
    <w:rPr>
      <w:color w:val="0000FF"/>
      <w:u w:val="single"/>
    </w:rPr>
  </w:style>
  <w:style w:type="character" w:styleId="Emphasis">
    <w:name w:val="Emphasis"/>
    <w:uiPriority w:val="20"/>
    <w:qFormat/>
    <w:rsid w:val="00F807C8"/>
    <w:rPr>
      <w:i/>
      <w:iCs/>
    </w:rPr>
  </w:style>
  <w:style w:type="paragraph" w:customStyle="1" w:styleId="ReferenceText">
    <w:name w:val="Reference Text"/>
    <w:basedOn w:val="Normal"/>
    <w:qFormat/>
    <w:rsid w:val="00F807C8"/>
    <w:pPr>
      <w:spacing w:before="120" w:after="120" w:line="276" w:lineRule="auto"/>
      <w:ind w:left="1440" w:hanging="1440"/>
    </w:pPr>
    <w:rPr>
      <w:rFonts w:eastAsiaTheme="minorEastAsia"/>
      <w:lang w:eastAsia="en-GB"/>
    </w:rPr>
  </w:style>
  <w:style w:type="character" w:customStyle="1" w:styleId="apple-converted-space">
    <w:name w:val="apple-converted-space"/>
    <w:basedOn w:val="DefaultParagraphFont"/>
    <w:rsid w:val="00F807C8"/>
  </w:style>
  <w:style w:type="paragraph" w:styleId="EndnoteText">
    <w:name w:val="endnote text"/>
    <w:basedOn w:val="Normal"/>
    <w:link w:val="EndnoteTextChar"/>
    <w:uiPriority w:val="99"/>
    <w:semiHidden/>
    <w:unhideWhenUsed/>
    <w:rsid w:val="00186A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6A9E"/>
    <w:rPr>
      <w:sz w:val="20"/>
      <w:szCs w:val="20"/>
      <w:lang w:val="en-GB"/>
    </w:rPr>
  </w:style>
  <w:style w:type="character" w:styleId="EndnoteReference">
    <w:name w:val="endnote reference"/>
    <w:basedOn w:val="DefaultParagraphFont"/>
    <w:uiPriority w:val="99"/>
    <w:semiHidden/>
    <w:unhideWhenUsed/>
    <w:rsid w:val="00186A9E"/>
    <w:rPr>
      <w:vertAlign w:val="superscript"/>
    </w:rPr>
  </w:style>
  <w:style w:type="character" w:styleId="CommentReference">
    <w:name w:val="annotation reference"/>
    <w:basedOn w:val="DefaultParagraphFont"/>
    <w:uiPriority w:val="99"/>
    <w:semiHidden/>
    <w:unhideWhenUsed/>
    <w:rsid w:val="00186A9E"/>
    <w:rPr>
      <w:sz w:val="16"/>
      <w:szCs w:val="16"/>
    </w:rPr>
  </w:style>
  <w:style w:type="paragraph" w:styleId="CommentText">
    <w:name w:val="annotation text"/>
    <w:basedOn w:val="Normal"/>
    <w:link w:val="CommentTextChar"/>
    <w:uiPriority w:val="99"/>
    <w:semiHidden/>
    <w:unhideWhenUsed/>
    <w:rsid w:val="00186A9E"/>
    <w:pPr>
      <w:spacing w:line="240" w:lineRule="auto"/>
    </w:pPr>
    <w:rPr>
      <w:sz w:val="20"/>
      <w:szCs w:val="20"/>
    </w:rPr>
  </w:style>
  <w:style w:type="character" w:customStyle="1" w:styleId="CommentTextChar">
    <w:name w:val="Comment Text Char"/>
    <w:basedOn w:val="DefaultParagraphFont"/>
    <w:link w:val="CommentText"/>
    <w:uiPriority w:val="99"/>
    <w:semiHidden/>
    <w:rsid w:val="00186A9E"/>
    <w:rPr>
      <w:sz w:val="20"/>
      <w:szCs w:val="20"/>
      <w:lang w:val="en-GB"/>
    </w:rPr>
  </w:style>
  <w:style w:type="paragraph" w:styleId="CommentSubject">
    <w:name w:val="annotation subject"/>
    <w:basedOn w:val="CommentText"/>
    <w:next w:val="CommentText"/>
    <w:link w:val="CommentSubjectChar"/>
    <w:uiPriority w:val="99"/>
    <w:semiHidden/>
    <w:unhideWhenUsed/>
    <w:rsid w:val="00186A9E"/>
    <w:rPr>
      <w:b/>
      <w:bCs/>
    </w:rPr>
  </w:style>
  <w:style w:type="character" w:customStyle="1" w:styleId="CommentSubjectChar">
    <w:name w:val="Comment Subject Char"/>
    <w:basedOn w:val="CommentTextChar"/>
    <w:link w:val="CommentSubject"/>
    <w:uiPriority w:val="99"/>
    <w:semiHidden/>
    <w:rsid w:val="00186A9E"/>
    <w:rPr>
      <w:b/>
      <w:bCs/>
      <w:sz w:val="20"/>
      <w:szCs w:val="20"/>
      <w:lang w:val="en-GB"/>
    </w:rPr>
  </w:style>
  <w:style w:type="paragraph" w:styleId="BalloonText">
    <w:name w:val="Balloon Text"/>
    <w:basedOn w:val="Normal"/>
    <w:link w:val="BalloonTextChar"/>
    <w:uiPriority w:val="99"/>
    <w:semiHidden/>
    <w:unhideWhenUsed/>
    <w:rsid w:val="00186A9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86A9E"/>
    <w:rPr>
      <w:rFonts w:ascii="Segoe UI" w:hAnsi="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keele.ac.uk/search/aboud+david/aboud+david/-5,-1,0,B/browse" TargetMode="External"/><Relationship Id="rId13" Type="http://schemas.openxmlformats.org/officeDocument/2006/relationships/hyperlink" Target="http://www.tla.ed.ac.uk/interchange" TargetMode="External"/><Relationship Id="rId18" Type="http://schemas.openxmlformats.org/officeDocument/2006/relationships/hyperlink" Target="http://jisctechdis.ac.uk/assets/Documents/resources/database/id430_cheating_and_plagiarism.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ass.brad.ac.uk/position-paper.pdf" TargetMode="External"/><Relationship Id="rId7" Type="http://schemas.openxmlformats.org/officeDocument/2006/relationships/hyperlink" Target="http://www.northumbria.ac.uk/sd/central/ar/academy/cetl_afl/" TargetMode="External"/><Relationship Id="rId12" Type="http://schemas.openxmlformats.org/officeDocument/2006/relationships/hyperlink" Target="http://www.heacademy.ac.uk/assets/documents/assessment/A_Marked_Improvement.pdf" TargetMode="External"/><Relationship Id="rId17" Type="http://schemas.openxmlformats.org/officeDocument/2006/relationships/hyperlink" Target="http://www.pass.brad.ac.uk/short-guide.pdf" TargetMode="External"/><Relationship Id="rId25" Type="http://schemas.openxmlformats.org/officeDocument/2006/relationships/hyperlink" Target="http://turnitin.com/en_us/features/overview" TargetMode="External"/><Relationship Id="rId2" Type="http://schemas.openxmlformats.org/officeDocument/2006/relationships/styles" Target="styles.xml"/><Relationship Id="rId16" Type="http://schemas.openxmlformats.org/officeDocument/2006/relationships/hyperlink" Target="http://www.jisc.ac.uk/publications/" TargetMode="External"/><Relationship Id="rId20" Type="http://schemas.openxmlformats.org/officeDocument/2006/relationships/hyperlink" Target="file:///C:/Documents%20and%20Settings/csadm1n01/My%20Documents/Downloads/Assessment%20and%20feedback%20benchmarking%20tool%2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cademy.ac.uk/assets/documents/assessment/A_Marked_Improvement.pdf" TargetMode="External"/><Relationship Id="rId24" Type="http://schemas.openxmlformats.org/officeDocument/2006/relationships/hyperlink" Target="http://www.ltsn.ac.uk/application.asp?app=resources.asp&amp;process=full_record&amp;section=generic&amp;id=10" TargetMode="External"/><Relationship Id="rId5" Type="http://schemas.openxmlformats.org/officeDocument/2006/relationships/footnotes" Target="footnotes.xml"/><Relationship Id="rId15" Type="http://schemas.openxmlformats.org/officeDocument/2006/relationships/hyperlink" Target="http://www.jisc.ac.uk/publications/reports/2009/soundsgoodfinalreport.aspx" TargetMode="External"/><Relationship Id="rId23" Type="http://schemas.openxmlformats.org/officeDocument/2006/relationships/hyperlink" Target="https://sites.google.com/site/soundsgooduk/" TargetMode="External"/><Relationship Id="rId10" Type="http://schemas.openxmlformats.org/officeDocument/2006/relationships/hyperlink" Target="http://repository.jisc.ac.uk/5599/1/EMA_REPORT.pdf" TargetMode="External"/><Relationship Id="rId19" Type="http://schemas.openxmlformats.org/officeDocument/2006/relationships/hyperlink" Target="http://www.nusconnect.org.uk/asset/news/6010/FeedbackCharter-toview.pdf" TargetMode="External"/><Relationship Id="rId4" Type="http://schemas.openxmlformats.org/officeDocument/2006/relationships/webSettings" Target="webSettings.xml"/><Relationship Id="rId9" Type="http://schemas.openxmlformats.org/officeDocument/2006/relationships/hyperlink" Target="http://opac.keele.ac.uk/search/aboud+david/aboud+david/-5,-1,0,B/browse" TargetMode="External"/><Relationship Id="rId14" Type="http://schemas.openxmlformats.org/officeDocument/2006/relationships/hyperlink" Target="http://www.jisc.ac.uk/publications/" TargetMode="External"/><Relationship Id="rId22" Type="http://schemas.openxmlformats.org/officeDocument/2006/relationships/hyperlink" Target="http://www.qaa.ac.uk/publications/informationandguidance/pages/quality-code-b6.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2016-06-14T08:28:00Z</dcterms:created>
  <dcterms:modified xsi:type="dcterms:W3CDTF">2016-06-14T08:32:00Z</dcterms:modified>
</cp:coreProperties>
</file>