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DB" w:rsidRPr="00091389" w:rsidRDefault="00D45BEB">
      <w:pPr>
        <w:rPr>
          <w:b/>
        </w:rPr>
      </w:pPr>
      <w:r>
        <w:rPr>
          <w:b/>
        </w:rPr>
        <w:t>Utrecht University: assessing international students task</w:t>
      </w:r>
    </w:p>
    <w:p w:rsidR="00550854" w:rsidRDefault="00091389" w:rsidP="00091389">
      <w:r>
        <w:t xml:space="preserve">Because universities have growing diverse populations of students, we need to develop good inclusive assessment practices to include </w:t>
      </w:r>
      <w:r w:rsidR="00D45BEB">
        <w:t>international students who may have</w:t>
      </w:r>
      <w:r>
        <w:t xml:space="preserve"> language concerns</w:t>
      </w:r>
      <w:r w:rsidR="00D45BEB">
        <w:t xml:space="preserve">, unfamiliarity with Dutch assessment systems and cultural issues. </w:t>
      </w:r>
      <w:r>
        <w:t xml:space="preserve"> According to Thomas and May, inclusive assessment </w:t>
      </w:r>
      <w:r w:rsidRPr="00091389">
        <w:t>‘refers to the design and use of fair and effective assessment methods and practices that enable all students to demonstrate what they know, understand and can do’ (Thomas and May, 2010, p13)</w:t>
      </w:r>
      <w:r>
        <w:t>. This workshop activity is designed to help</w:t>
      </w:r>
      <w:r w:rsidR="00D45BEB">
        <w:t xml:space="preserve"> colleagues consider how to make assessment as inclusive as possible</w:t>
      </w:r>
      <w:r w:rsidR="00550854">
        <w:t>.</w:t>
      </w:r>
    </w:p>
    <w:p w:rsidR="00550854" w:rsidRPr="00D8717D" w:rsidRDefault="00550854" w:rsidP="00091389">
      <w:pPr>
        <w:rPr>
          <w:b/>
        </w:rPr>
      </w:pPr>
      <w:r w:rsidRPr="00D8717D">
        <w:rPr>
          <w:b/>
        </w:rPr>
        <w:t>Task</w:t>
      </w:r>
    </w:p>
    <w:p w:rsidR="00765667" w:rsidRDefault="00D45BEB" w:rsidP="00D45BEB">
      <w:r>
        <w:t>Please</w:t>
      </w:r>
      <w:r w:rsidR="00550854">
        <w:t xml:space="preserve"> review </w:t>
      </w:r>
      <w:r w:rsidR="00D8717D">
        <w:t>the</w:t>
      </w:r>
      <w:r w:rsidR="00550854">
        <w:t xml:space="preserve"> semi-fictionalised emails below</w:t>
      </w:r>
      <w:r w:rsidR="00D8717D">
        <w:t>,</w:t>
      </w:r>
      <w:r w:rsidR="00550854">
        <w:t xml:space="preserve"> identify</w:t>
      </w:r>
      <w:r>
        <w:t>ing</w:t>
      </w:r>
      <w:r w:rsidR="00550854">
        <w:t xml:space="preserve"> the key issues raised and </w:t>
      </w:r>
      <w:r w:rsidR="00D8717D">
        <w:t>suggest</w:t>
      </w:r>
      <w:r>
        <w:t>ing</w:t>
      </w:r>
      <w:r w:rsidR="00D8717D">
        <w:t xml:space="preserve"> </w:t>
      </w:r>
      <w:r w:rsidR="00550854">
        <w:t xml:space="preserve">how best </w:t>
      </w:r>
      <w:r w:rsidR="00D8717D">
        <w:t xml:space="preserve">the </w:t>
      </w:r>
      <w:r w:rsidR="00550854">
        <w:t xml:space="preserve">university staff </w:t>
      </w:r>
      <w:r w:rsidR="00D8717D">
        <w:t xml:space="preserve">concerned </w:t>
      </w:r>
      <w:r w:rsidR="00550854">
        <w:t>should respond to ensure inclusive outcomes.</w:t>
      </w:r>
    </w:p>
    <w:p w:rsidR="00102201" w:rsidRDefault="00F51613" w:rsidP="00D45BEB">
      <w:pPr>
        <w:pStyle w:val="ListParagraph"/>
        <w:numPr>
          <w:ilvl w:val="0"/>
          <w:numId w:val="3"/>
        </w:numPr>
      </w:pPr>
      <w:r>
        <w:t>“Dear D</w:t>
      </w:r>
      <w:r w:rsidR="00D45BEB">
        <w:t>r G</w:t>
      </w:r>
      <w:r>
        <w:t xml:space="preserve">, I am writing on behalf of my cousin who is studying on the Law course for which you are listed on the website as leader. As a refugee, </w:t>
      </w:r>
      <w:proofErr w:type="spellStart"/>
      <w:r>
        <w:t>Prina</w:t>
      </w:r>
      <w:proofErr w:type="spellEnd"/>
      <w:r>
        <w:t xml:space="preserve"> has only been in the country for three years and he has made enormous progress in learning English, but his written work is causing him some problems still. He tells me that he keeps getting essays back with many, many corrections of his English and this is bringing down his marks badly. How can you help him? Yours sincerely </w:t>
      </w:r>
      <w:proofErr w:type="spellStart"/>
      <w:r>
        <w:t>Brena</w:t>
      </w:r>
      <w:proofErr w:type="spellEnd"/>
      <w:r>
        <w:t xml:space="preserve"> </w:t>
      </w:r>
      <w:proofErr w:type="spellStart"/>
      <w:r>
        <w:t>Farhi</w:t>
      </w:r>
      <w:proofErr w:type="spellEnd"/>
      <w:r w:rsidR="00102201">
        <w:t>”</w:t>
      </w:r>
    </w:p>
    <w:p w:rsidR="00091389" w:rsidRDefault="00D8717D" w:rsidP="00D45BEB">
      <w:pPr>
        <w:pStyle w:val="ListParagraph"/>
        <w:numPr>
          <w:ilvl w:val="0"/>
          <w:numId w:val="3"/>
        </w:numPr>
      </w:pPr>
      <w:r>
        <w:t xml:space="preserve">“Dear Dr J, </w:t>
      </w:r>
      <w:proofErr w:type="gramStart"/>
      <w:r>
        <w:t>The</w:t>
      </w:r>
      <w:proofErr w:type="gramEnd"/>
      <w:r>
        <w:t xml:space="preserve"> university is just not thinking about the needs of its students. Once again you’ve set us a three-hour assessed practical starting [late on a Friday afternoon during Ramadan] or [on a Saturday morning which is Sabbath]. When are you going to stop discriminating against us?” Ali/Eli”</w:t>
      </w:r>
    </w:p>
    <w:p w:rsidR="00F74722" w:rsidRDefault="00947B59" w:rsidP="00D45BEB">
      <w:pPr>
        <w:pStyle w:val="ListParagraph"/>
        <w:numPr>
          <w:ilvl w:val="0"/>
          <w:numId w:val="3"/>
        </w:numPr>
      </w:pPr>
      <w:r>
        <w:t>“To the course leader for the International Business programme</w:t>
      </w:r>
      <w:r w:rsidR="00BC51B7">
        <w:t xml:space="preserve">: </w:t>
      </w:r>
      <w:bookmarkStart w:id="0" w:name="_GoBack"/>
      <w:bookmarkEnd w:id="0"/>
      <w:r>
        <w:t xml:space="preserve">I am very unhappy: I came to the Netherlands to study with an outstanding record in my own country: I am the best in the region and have been supported by my government to study here. Now I find I am expected to do assignments for which I feel unprepared: at home I was very good at written exams but now you are </w:t>
      </w:r>
      <w:r w:rsidR="00F74722">
        <w:t xml:space="preserve">assessing me through oral skills which is much harder for me than for my fellow students. Please provide me with a written alternative task, yours </w:t>
      </w:r>
      <w:proofErr w:type="spellStart"/>
      <w:r w:rsidR="00F74722">
        <w:t>Injana</w:t>
      </w:r>
      <w:proofErr w:type="spellEnd"/>
      <w:r w:rsidR="00F74722">
        <w:t>”</w:t>
      </w:r>
    </w:p>
    <w:p w:rsidR="00947B59" w:rsidRDefault="00F74722" w:rsidP="00D45BEB">
      <w:pPr>
        <w:pStyle w:val="ListParagraph"/>
        <w:numPr>
          <w:ilvl w:val="0"/>
          <w:numId w:val="3"/>
        </w:numPr>
      </w:pPr>
      <w:r>
        <w:t>“To the school director. We are taking too many international students on this course</w:t>
      </w:r>
      <w:r w:rsidR="00947B59">
        <w:t xml:space="preserve"> </w:t>
      </w:r>
      <w:r>
        <w:t>who in my opinion are just not up to the standards we need. Why are we recruiting students who lack basic skills of the kind essential for our graduates who just can’t pass the course. We must stop doing this! Dr W”</w:t>
      </w:r>
    </w:p>
    <w:p w:rsidR="00091389" w:rsidRDefault="00B805D7" w:rsidP="00B805D7">
      <w:pPr>
        <w:pStyle w:val="ListParagraph"/>
        <w:numPr>
          <w:ilvl w:val="0"/>
          <w:numId w:val="3"/>
        </w:numPr>
      </w:pPr>
      <w:r>
        <w:t xml:space="preserve">“Miya, please send me your project report electronically so I can review it. It is so helpful seeing what you did on the course last year, and I am sure it will help me do mine this year too. I am very frightened that I won’t pass and I need all the help I can get. I will be very grateful to you, </w:t>
      </w:r>
      <w:proofErr w:type="spellStart"/>
      <w:r>
        <w:t>Jara</w:t>
      </w:r>
      <w:proofErr w:type="spellEnd"/>
      <w:r>
        <w:t>”</w:t>
      </w:r>
    </w:p>
    <w:p w:rsidR="00091389" w:rsidRDefault="00091389">
      <w:pPr>
        <w:rPr>
          <w:b/>
        </w:rPr>
      </w:pPr>
      <w:r>
        <w:rPr>
          <w:b/>
        </w:rPr>
        <w:t>Facilitator Discussion points</w:t>
      </w:r>
    </w:p>
    <w:p w:rsidR="005E1E60" w:rsidRDefault="009B1712" w:rsidP="005E1E60">
      <w:pPr>
        <w:pStyle w:val="ListParagraph"/>
        <w:numPr>
          <w:ilvl w:val="0"/>
          <w:numId w:val="1"/>
        </w:numPr>
      </w:pPr>
      <w:r>
        <w:t>The key purpose of inclusive assessment is to help students to perform to the best of their abilities through assessment that is inclusive and support their learning and future employment (</w:t>
      </w:r>
      <w:r w:rsidR="000A7599">
        <w:t xml:space="preserve">see </w:t>
      </w:r>
      <w:r>
        <w:t xml:space="preserve">Plymouth University Guide). However, inclusive assessment does not mean giving some students an easy </w:t>
      </w:r>
      <w:r w:rsidR="00D45BEB">
        <w:t>time</w:t>
      </w:r>
      <w:r>
        <w:t>: it is essential for university standards and for students themselves that inclusive assessment fairly evaluates students</w:t>
      </w:r>
      <w:r w:rsidR="000A7599">
        <w:t>’</w:t>
      </w:r>
      <w:r>
        <w:t xml:space="preserve"> ability to meet the module and programme learning outcomes, academic and professional standards.</w:t>
      </w:r>
      <w:r w:rsidR="000A7599">
        <w:t xml:space="preserve"> It is equally important that fellow students understand this requirement and its implications.</w:t>
      </w:r>
    </w:p>
    <w:p w:rsidR="00B805D7" w:rsidRDefault="00B805D7" w:rsidP="005E1E60">
      <w:pPr>
        <w:pStyle w:val="ListParagraph"/>
        <w:numPr>
          <w:ilvl w:val="0"/>
          <w:numId w:val="1"/>
        </w:numPr>
      </w:pPr>
      <w:r>
        <w:lastRenderedPageBreak/>
        <w:t>Many of the issues that impact on international students’ academic performance are linked to cultural and other non-academic matters, so uni</w:t>
      </w:r>
      <w:r w:rsidR="00BC51B7">
        <w:t xml:space="preserve">versity teachers do well to </w:t>
      </w:r>
      <w:r>
        <w:t xml:space="preserve">become familiarised with a such background factors. </w:t>
      </w:r>
    </w:p>
    <w:p w:rsidR="00550854" w:rsidRDefault="00550854" w:rsidP="00091389">
      <w:pPr>
        <w:pStyle w:val="ListParagraph"/>
        <w:numPr>
          <w:ilvl w:val="0"/>
          <w:numId w:val="1"/>
        </w:numPr>
      </w:pPr>
      <w:r>
        <w:t>While being an international student should not be in itself a cause for concern or specialist intervention, it is clear that language concerns need to be considered when designing inclusive assessment.</w:t>
      </w:r>
    </w:p>
    <w:p w:rsidR="00550854" w:rsidRDefault="008B13FF" w:rsidP="00091389">
      <w:pPr>
        <w:pStyle w:val="ListParagraph"/>
        <w:numPr>
          <w:ilvl w:val="0"/>
          <w:numId w:val="1"/>
        </w:numPr>
      </w:pPr>
      <w:r>
        <w:t xml:space="preserve">It is possible to meet the special needs of very diverse students (Grace and </w:t>
      </w:r>
      <w:proofErr w:type="spellStart"/>
      <w:r>
        <w:t>Gravestock</w:t>
      </w:r>
      <w:proofErr w:type="spellEnd"/>
      <w:r>
        <w:t xml:space="preserve">, 2009), by using </w:t>
      </w:r>
      <w:r w:rsidR="008F42E2">
        <w:t>imag</w:t>
      </w:r>
      <w:r w:rsidR="00B805D7">
        <w:t>inative and creative approaches</w:t>
      </w:r>
      <w:r w:rsidR="008F42E2">
        <w:t>.</w:t>
      </w:r>
    </w:p>
    <w:p w:rsidR="00B805D7" w:rsidRPr="00091389" w:rsidRDefault="00B805D7" w:rsidP="00091389">
      <w:pPr>
        <w:pStyle w:val="ListParagraph"/>
        <w:numPr>
          <w:ilvl w:val="0"/>
          <w:numId w:val="1"/>
        </w:numPr>
      </w:pPr>
      <w:r>
        <w:t>Students understanding of the conventions required for academic writing may not be as advanced as you might hope. It is a good idea to clarify expectations for students about matters such as referencing and good academic conduct.</w:t>
      </w:r>
    </w:p>
    <w:p w:rsidR="00091389" w:rsidRPr="00091389" w:rsidRDefault="00091389">
      <w:pPr>
        <w:rPr>
          <w:b/>
        </w:rPr>
      </w:pPr>
      <w:r w:rsidRPr="00091389">
        <w:rPr>
          <w:b/>
        </w:rPr>
        <w:t>References</w:t>
      </w:r>
    </w:p>
    <w:p w:rsidR="001931A5" w:rsidRPr="001931A5" w:rsidRDefault="001931A5" w:rsidP="00BC51B7">
      <w:pPr>
        <w:spacing w:after="120"/>
        <w:ind w:left="567" w:hanging="567"/>
        <w:rPr>
          <w:bCs/>
        </w:rPr>
      </w:pPr>
      <w:r w:rsidRPr="001931A5">
        <w:rPr>
          <w:bCs/>
        </w:rPr>
        <w:t xml:space="preserve">Brown, S. (2015) </w:t>
      </w:r>
      <w:r w:rsidRPr="001931A5">
        <w:rPr>
          <w:bCs/>
          <w:i/>
          <w:iCs/>
        </w:rPr>
        <w:t xml:space="preserve">Learning, teaching and assessment in higher education: global perspectives, </w:t>
      </w:r>
      <w:r w:rsidRPr="001931A5">
        <w:rPr>
          <w:bCs/>
        </w:rPr>
        <w:t>London: Palgrave-MacMillan.</w:t>
      </w:r>
    </w:p>
    <w:p w:rsidR="00BC51B7" w:rsidRDefault="001931A5" w:rsidP="00BC51B7">
      <w:pPr>
        <w:spacing w:after="120"/>
        <w:ind w:left="567" w:hanging="567"/>
        <w:rPr>
          <w:bCs/>
        </w:rPr>
      </w:pPr>
      <w:r w:rsidRPr="001931A5">
        <w:rPr>
          <w:bCs/>
        </w:rPr>
        <w:t xml:space="preserve">Carroll, J. and Ryan, J. (2005) </w:t>
      </w:r>
      <w:r w:rsidRPr="001931A5">
        <w:rPr>
          <w:bCs/>
          <w:i/>
          <w:iCs/>
        </w:rPr>
        <w:t>Teaching International students: improving learning for all,</w:t>
      </w:r>
      <w:r w:rsidRPr="001931A5">
        <w:rPr>
          <w:bCs/>
        </w:rPr>
        <w:t xml:space="preserve"> Abingdon: Routledge SEDA series.</w:t>
      </w:r>
    </w:p>
    <w:p w:rsidR="00BC51B7" w:rsidRDefault="00770F07" w:rsidP="00BC51B7">
      <w:pPr>
        <w:spacing w:after="120"/>
        <w:ind w:left="567" w:hanging="567"/>
        <w:rPr>
          <w:bCs/>
        </w:rPr>
      </w:pPr>
      <w:r>
        <w:rPr>
          <w:rFonts w:ascii="Arial" w:hAnsi="Arial" w:cs="Arial"/>
          <w:color w:val="222222"/>
          <w:sz w:val="20"/>
          <w:szCs w:val="20"/>
          <w:shd w:val="clear" w:color="auto" w:fill="FFFFFF"/>
        </w:rPr>
        <w:t xml:space="preserve">Grace, S. and </w:t>
      </w:r>
      <w:proofErr w:type="spellStart"/>
      <w:r>
        <w:rPr>
          <w:rFonts w:ascii="Arial" w:hAnsi="Arial" w:cs="Arial"/>
          <w:color w:val="222222"/>
          <w:sz w:val="20"/>
          <w:szCs w:val="20"/>
          <w:shd w:val="clear" w:color="auto" w:fill="FFFFFF"/>
        </w:rPr>
        <w:t>Gravestock</w:t>
      </w:r>
      <w:proofErr w:type="spellEnd"/>
      <w:r>
        <w:rPr>
          <w:rFonts w:ascii="Arial" w:hAnsi="Arial" w:cs="Arial"/>
          <w:color w:val="222222"/>
          <w:sz w:val="20"/>
          <w:szCs w:val="20"/>
          <w:shd w:val="clear" w:color="auto" w:fill="FFFFFF"/>
        </w:rPr>
        <w:t>, P., 2008.</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Inclusion and diversity: Meeting the needs of all students</w:t>
      </w:r>
      <w:r>
        <w:rPr>
          <w:rFonts w:ascii="Arial" w:hAnsi="Arial" w:cs="Arial"/>
          <w:color w:val="222222"/>
          <w:sz w:val="20"/>
          <w:szCs w:val="20"/>
          <w:shd w:val="clear" w:color="auto" w:fill="FFFFFF"/>
        </w:rPr>
        <w:t>. Routledge.</w:t>
      </w:r>
    </w:p>
    <w:p w:rsidR="00770F07" w:rsidRPr="00BC51B7" w:rsidRDefault="00770F07" w:rsidP="00BC51B7">
      <w:pPr>
        <w:spacing w:after="120"/>
        <w:ind w:left="567" w:hanging="567"/>
        <w:rPr>
          <w:bCs/>
        </w:rPr>
      </w:pPr>
      <w:r w:rsidRPr="00091389">
        <w:t xml:space="preserve">The Higher Education Academy (2012) </w:t>
      </w:r>
      <w:r w:rsidRPr="00091389">
        <w:rPr>
          <w:i/>
          <w:iCs/>
        </w:rPr>
        <w:t xml:space="preserve">A Marked Improvement: Transforming assessment in higher </w:t>
      </w:r>
      <w:r>
        <w:rPr>
          <w:i/>
          <w:iCs/>
        </w:rPr>
        <w:t>educ</w:t>
      </w:r>
      <w:r w:rsidRPr="00091389">
        <w:rPr>
          <w:i/>
          <w:iCs/>
        </w:rPr>
        <w:t>ation</w:t>
      </w:r>
      <w:r w:rsidRPr="00091389">
        <w:t xml:space="preserve">. Available from: </w:t>
      </w:r>
      <w:hyperlink r:id="rId5" w:history="1">
        <w:r w:rsidRPr="00091389">
          <w:rPr>
            <w:rStyle w:val="Hyperlink"/>
          </w:rPr>
          <w:t>http://</w:t>
        </w:r>
      </w:hyperlink>
      <w:hyperlink r:id="rId6" w:history="1">
        <w:r w:rsidRPr="00091389">
          <w:rPr>
            <w:rStyle w:val="Hyperlink"/>
          </w:rPr>
          <w:t>www.heacademy.ac.uk/assessment</w:t>
        </w:r>
      </w:hyperlink>
      <w:r w:rsidRPr="00091389">
        <w:rPr>
          <w:u w:val="single"/>
        </w:rPr>
        <w:t xml:space="preserve"> </w:t>
      </w:r>
      <w:r w:rsidRPr="00091389">
        <w:t>[</w:t>
      </w:r>
      <w:r>
        <w:t>accessed May 2016</w:t>
      </w:r>
      <w:r w:rsidRPr="00091389">
        <w:t>].</w:t>
      </w:r>
    </w:p>
    <w:p w:rsidR="001931A5" w:rsidRPr="001931A5" w:rsidRDefault="001931A5" w:rsidP="00BC51B7">
      <w:pPr>
        <w:spacing w:after="120"/>
        <w:ind w:left="567" w:hanging="567"/>
        <w:rPr>
          <w:bCs/>
        </w:rPr>
      </w:pPr>
      <w:r w:rsidRPr="001931A5">
        <w:rPr>
          <w:bCs/>
        </w:rPr>
        <w:t>Jones, E., &amp; Brown, S. (Eds.). (2007). </w:t>
      </w:r>
      <w:r w:rsidRPr="001931A5">
        <w:rPr>
          <w:bCs/>
          <w:i/>
          <w:iCs/>
        </w:rPr>
        <w:t>Internationalising higher education</w:t>
      </w:r>
      <w:r w:rsidRPr="001931A5">
        <w:rPr>
          <w:bCs/>
        </w:rPr>
        <w:t>. Routledge.</w:t>
      </w:r>
    </w:p>
    <w:p w:rsidR="001931A5" w:rsidRPr="001931A5" w:rsidRDefault="001931A5" w:rsidP="00BC51B7">
      <w:pPr>
        <w:spacing w:after="120"/>
        <w:ind w:left="567" w:hanging="567"/>
        <w:rPr>
          <w:bCs/>
        </w:rPr>
      </w:pPr>
      <w:r w:rsidRPr="001931A5">
        <w:rPr>
          <w:bCs/>
        </w:rPr>
        <w:t xml:space="preserve">Jones, E. (Ed.) (2009) </w:t>
      </w:r>
      <w:r w:rsidRPr="001931A5">
        <w:rPr>
          <w:bCs/>
          <w:i/>
          <w:iCs/>
        </w:rPr>
        <w:t>Internationalisation and the student voice: Higher education perspectives</w:t>
      </w:r>
      <w:r w:rsidRPr="001931A5">
        <w:rPr>
          <w:bCs/>
        </w:rPr>
        <w:t>. Routledge.</w:t>
      </w:r>
    </w:p>
    <w:p w:rsidR="001931A5" w:rsidRPr="001931A5" w:rsidRDefault="001931A5" w:rsidP="00BC51B7">
      <w:pPr>
        <w:spacing w:after="120"/>
        <w:ind w:left="567" w:hanging="567"/>
        <w:rPr>
          <w:bCs/>
        </w:rPr>
      </w:pPr>
      <w:r w:rsidRPr="001931A5">
        <w:rPr>
          <w:bCs/>
        </w:rPr>
        <w:t xml:space="preserve">Jones, E., &amp; </w:t>
      </w:r>
      <w:proofErr w:type="spellStart"/>
      <w:r w:rsidRPr="001931A5">
        <w:rPr>
          <w:bCs/>
        </w:rPr>
        <w:t>Killick</w:t>
      </w:r>
      <w:proofErr w:type="spellEnd"/>
      <w:r w:rsidRPr="001931A5">
        <w:rPr>
          <w:bCs/>
        </w:rPr>
        <w:t xml:space="preserve">, D. (2013) Graduate attributes and the internationalized curriculum: Embedding a global outlook in disciplinary learning outcomes, </w:t>
      </w:r>
      <w:r w:rsidRPr="001931A5">
        <w:rPr>
          <w:bCs/>
          <w:i/>
          <w:iCs/>
        </w:rPr>
        <w:t>Journal of Studies in International Education</w:t>
      </w:r>
      <w:r w:rsidRPr="001931A5">
        <w:rPr>
          <w:bCs/>
        </w:rPr>
        <w:t>.</w:t>
      </w:r>
    </w:p>
    <w:p w:rsidR="00BC51B7" w:rsidRDefault="001931A5" w:rsidP="00BC51B7">
      <w:pPr>
        <w:spacing w:after="120"/>
        <w:ind w:left="567" w:hanging="567"/>
        <w:rPr>
          <w:bCs/>
        </w:rPr>
      </w:pPr>
      <w:proofErr w:type="spellStart"/>
      <w:r w:rsidRPr="001931A5">
        <w:rPr>
          <w:bCs/>
        </w:rPr>
        <w:t>Killick</w:t>
      </w:r>
      <w:proofErr w:type="spellEnd"/>
      <w:r w:rsidRPr="001931A5">
        <w:rPr>
          <w:bCs/>
        </w:rPr>
        <w:t>, D. (2011) Seeing ourselves-in-the-world: Developing global citizenship through international mobility and campus community. </w:t>
      </w:r>
      <w:r w:rsidRPr="001931A5">
        <w:rPr>
          <w:bCs/>
          <w:i/>
          <w:iCs/>
        </w:rPr>
        <w:t>Journal of Studies in International Education</w:t>
      </w:r>
      <w:r w:rsidRPr="001931A5">
        <w:rPr>
          <w:bCs/>
        </w:rPr>
        <w:t>.</w:t>
      </w:r>
    </w:p>
    <w:p w:rsidR="00BC51B7" w:rsidRDefault="00770F07" w:rsidP="00BC51B7">
      <w:pPr>
        <w:spacing w:after="120"/>
        <w:ind w:left="567" w:hanging="567"/>
        <w:rPr>
          <w:bCs/>
        </w:rPr>
      </w:pPr>
      <w:r w:rsidRPr="00091389">
        <w:t xml:space="preserve">Plymouth University (2014-2020) Teaching &amp; Learning at Plymouth University. </w:t>
      </w:r>
      <w:r w:rsidRPr="00091389">
        <w:rPr>
          <w:i/>
          <w:iCs/>
        </w:rPr>
        <w:t>Inclusive assessment: Good practice guide</w:t>
      </w:r>
      <w:r w:rsidRPr="00091389">
        <w:t xml:space="preserve">. Available from: </w:t>
      </w:r>
      <w:hyperlink r:id="rId7" w:history="1">
        <w:r w:rsidRPr="00091389">
          <w:rPr>
            <w:rStyle w:val="Hyperlink"/>
          </w:rPr>
          <w:t>https://</w:t>
        </w:r>
      </w:hyperlink>
      <w:hyperlink r:id="rId8" w:history="1">
        <w:r w:rsidRPr="00091389">
          <w:rPr>
            <w:rStyle w:val="Hyperlink"/>
          </w:rPr>
          <w:t>www.plymouth.ac.uk/your-university/teaching-and-learning/inclusivity/inclusive-assessment</w:t>
        </w:r>
      </w:hyperlink>
      <w:r w:rsidRPr="00091389">
        <w:t xml:space="preserve"> [</w:t>
      </w:r>
      <w:r>
        <w:t>accessed May</w:t>
      </w:r>
      <w:r w:rsidRPr="00091389">
        <w:t xml:space="preserve"> 2016]. </w:t>
      </w:r>
    </w:p>
    <w:p w:rsidR="00770F07" w:rsidRPr="00BC51B7" w:rsidRDefault="00770F07" w:rsidP="00BC51B7">
      <w:pPr>
        <w:spacing w:after="120"/>
        <w:ind w:left="567" w:hanging="567"/>
        <w:rPr>
          <w:bCs/>
        </w:rPr>
      </w:pPr>
      <w:proofErr w:type="spellStart"/>
      <w:r>
        <w:rPr>
          <w:rFonts w:ascii="Arial" w:hAnsi="Arial" w:cs="Arial"/>
          <w:color w:val="222222"/>
          <w:sz w:val="20"/>
          <w:szCs w:val="20"/>
          <w:shd w:val="clear" w:color="auto" w:fill="FFFFFF"/>
        </w:rPr>
        <w:t>Ramburuth</w:t>
      </w:r>
      <w:proofErr w:type="spellEnd"/>
      <w:r>
        <w:rPr>
          <w:rFonts w:ascii="Arial" w:hAnsi="Arial" w:cs="Arial"/>
          <w:color w:val="222222"/>
          <w:sz w:val="20"/>
          <w:szCs w:val="20"/>
          <w:shd w:val="clear" w:color="auto" w:fill="FFFFFF"/>
        </w:rPr>
        <w:t xml:space="preserve">, P. and </w:t>
      </w:r>
      <w:proofErr w:type="spellStart"/>
      <w:r>
        <w:rPr>
          <w:rFonts w:ascii="Arial" w:hAnsi="Arial" w:cs="Arial"/>
          <w:color w:val="222222"/>
          <w:sz w:val="20"/>
          <w:szCs w:val="20"/>
          <w:shd w:val="clear" w:color="auto" w:fill="FFFFFF"/>
        </w:rPr>
        <w:t>Tani</w:t>
      </w:r>
      <w:proofErr w:type="spellEnd"/>
      <w:r>
        <w:rPr>
          <w:rFonts w:ascii="Arial" w:hAnsi="Arial" w:cs="Arial"/>
          <w:color w:val="222222"/>
          <w:sz w:val="20"/>
          <w:szCs w:val="20"/>
          <w:shd w:val="clear" w:color="auto" w:fill="FFFFFF"/>
        </w:rPr>
        <w:t xml:space="preserve">, M., </w:t>
      </w:r>
      <w:r w:rsidR="00BC51B7">
        <w:rPr>
          <w:rFonts w:ascii="Arial" w:hAnsi="Arial" w:cs="Arial"/>
          <w:color w:val="222222"/>
          <w:sz w:val="20"/>
          <w:szCs w:val="20"/>
          <w:shd w:val="clear" w:color="auto" w:fill="FFFFFF"/>
        </w:rPr>
        <w:t>(</w:t>
      </w:r>
      <w:r>
        <w:rPr>
          <w:rFonts w:ascii="Arial" w:hAnsi="Arial" w:cs="Arial"/>
          <w:color w:val="222222"/>
          <w:sz w:val="20"/>
          <w:szCs w:val="20"/>
          <w:shd w:val="clear" w:color="auto" w:fill="FFFFFF"/>
        </w:rPr>
        <w:t>2009</w:t>
      </w:r>
      <w:r w:rsidR="00BC51B7">
        <w:rPr>
          <w:rFonts w:ascii="Arial" w:hAnsi="Arial" w:cs="Arial"/>
          <w:color w:val="222222"/>
          <w:sz w:val="20"/>
          <w:szCs w:val="20"/>
          <w:shd w:val="clear" w:color="auto" w:fill="FFFFFF"/>
        </w:rPr>
        <w:t>)</w:t>
      </w:r>
      <w:r>
        <w:rPr>
          <w:rFonts w:ascii="Arial" w:hAnsi="Arial" w:cs="Arial"/>
          <w:color w:val="222222"/>
          <w:sz w:val="20"/>
          <w:szCs w:val="20"/>
          <w:shd w:val="clear" w:color="auto" w:fill="FFFFFF"/>
        </w:rPr>
        <w:t>. The impact of culture on learning: Exploring student perceptions.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Multicultural Education &amp; Technology Journal</w:t>
      </w:r>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pp.182-195.</w:t>
      </w:r>
    </w:p>
    <w:p w:rsidR="001931A5" w:rsidRPr="001931A5" w:rsidRDefault="001931A5" w:rsidP="00BC51B7">
      <w:pPr>
        <w:spacing w:after="120"/>
        <w:ind w:left="567" w:hanging="567"/>
        <w:rPr>
          <w:bCs/>
        </w:rPr>
      </w:pPr>
      <w:r w:rsidRPr="001931A5">
        <w:rPr>
          <w:bCs/>
        </w:rPr>
        <w:t xml:space="preserve">Ryan, J. (2000) </w:t>
      </w:r>
      <w:r w:rsidRPr="001931A5">
        <w:rPr>
          <w:bCs/>
          <w:i/>
          <w:iCs/>
        </w:rPr>
        <w:t>A Guide to Teaching International Students,</w:t>
      </w:r>
      <w:r w:rsidRPr="001931A5">
        <w:rPr>
          <w:bCs/>
        </w:rPr>
        <w:t xml:space="preserve"> Oxford: Oxford Centre for Staff and Learning Development</w:t>
      </w:r>
    </w:p>
    <w:p w:rsidR="00BC51B7" w:rsidRDefault="001931A5" w:rsidP="00BC51B7">
      <w:pPr>
        <w:spacing w:after="120"/>
        <w:ind w:left="567" w:hanging="567"/>
        <w:rPr>
          <w:bCs/>
        </w:rPr>
      </w:pPr>
      <w:r w:rsidRPr="001931A5">
        <w:rPr>
          <w:bCs/>
        </w:rPr>
        <w:t>Scott, P. (Ed)</w:t>
      </w:r>
      <w:r w:rsidR="00BC51B7">
        <w:rPr>
          <w:bCs/>
        </w:rPr>
        <w:t xml:space="preserve"> (1998) </w:t>
      </w:r>
      <w:r w:rsidRPr="001931A5">
        <w:rPr>
          <w:bCs/>
        </w:rPr>
        <w:t>(1998). </w:t>
      </w:r>
      <w:r w:rsidRPr="001931A5">
        <w:rPr>
          <w:bCs/>
          <w:i/>
          <w:iCs/>
        </w:rPr>
        <w:t>The globalization of higher education</w:t>
      </w:r>
      <w:r w:rsidRPr="001931A5">
        <w:rPr>
          <w:bCs/>
        </w:rPr>
        <w:t xml:space="preserve">. </w:t>
      </w:r>
      <w:r w:rsidR="00BC51B7" w:rsidRPr="001931A5">
        <w:rPr>
          <w:bCs/>
        </w:rPr>
        <w:t>Buckingham</w:t>
      </w:r>
      <w:r w:rsidR="00BC51B7">
        <w:rPr>
          <w:bCs/>
        </w:rPr>
        <w:t xml:space="preserve">: </w:t>
      </w:r>
      <w:r w:rsidR="00BC51B7" w:rsidRPr="001931A5">
        <w:rPr>
          <w:bCs/>
        </w:rPr>
        <w:t xml:space="preserve">Society for </w:t>
      </w:r>
      <w:r w:rsidR="00BC51B7">
        <w:rPr>
          <w:bCs/>
        </w:rPr>
        <w:t>Research into Higher Education/</w:t>
      </w:r>
      <w:r w:rsidR="00BC51B7" w:rsidRPr="001931A5">
        <w:rPr>
          <w:bCs/>
        </w:rPr>
        <w:t>Open University Press</w:t>
      </w:r>
      <w:r w:rsidRPr="001931A5">
        <w:rPr>
          <w:bCs/>
        </w:rPr>
        <w:t>:</w:t>
      </w:r>
    </w:p>
    <w:p w:rsidR="00760049" w:rsidRPr="00BC51B7" w:rsidRDefault="00760049" w:rsidP="00BC51B7">
      <w:pPr>
        <w:spacing w:after="120"/>
        <w:ind w:left="567" w:hanging="567"/>
        <w:rPr>
          <w:bCs/>
        </w:rPr>
      </w:pPr>
      <w:r>
        <w:rPr>
          <w:rFonts w:ascii="Arial" w:hAnsi="Arial" w:cs="Arial"/>
          <w:color w:val="222222"/>
          <w:sz w:val="20"/>
          <w:szCs w:val="20"/>
          <w:shd w:val="clear" w:color="auto" w:fill="FFFFFF"/>
        </w:rPr>
        <w:t xml:space="preserve">Thomas, L. and May, H., </w:t>
      </w:r>
      <w:r w:rsidR="00BC51B7">
        <w:rPr>
          <w:rFonts w:ascii="Arial" w:hAnsi="Arial" w:cs="Arial"/>
          <w:color w:val="222222"/>
          <w:sz w:val="20"/>
          <w:szCs w:val="20"/>
          <w:shd w:val="clear" w:color="auto" w:fill="FFFFFF"/>
        </w:rPr>
        <w:t>(</w:t>
      </w:r>
      <w:r>
        <w:rPr>
          <w:rFonts w:ascii="Arial" w:hAnsi="Arial" w:cs="Arial"/>
          <w:color w:val="222222"/>
          <w:sz w:val="20"/>
          <w:szCs w:val="20"/>
          <w:shd w:val="clear" w:color="auto" w:fill="FFFFFF"/>
        </w:rPr>
        <w:t>2010</w:t>
      </w:r>
      <w:r w:rsidR="00BC51B7">
        <w:rPr>
          <w:rFonts w:ascii="Arial" w:hAnsi="Arial" w:cs="Arial"/>
          <w:color w:val="222222"/>
          <w:sz w:val="20"/>
          <w:szCs w:val="20"/>
          <w:shd w:val="clear" w:color="auto" w:fill="FFFFFF"/>
        </w:rPr>
        <w:t>)</w:t>
      </w:r>
      <w:r>
        <w:rPr>
          <w:rFonts w:ascii="Arial" w:hAnsi="Arial" w:cs="Arial"/>
          <w:color w:val="222222"/>
          <w:sz w:val="20"/>
          <w:szCs w:val="20"/>
          <w:shd w:val="clear" w:color="auto" w:fill="FFFFFF"/>
        </w:rPr>
        <w:t>. Inclusive learning and teaching in higher education.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York: Higher Education Academy</w:t>
      </w:r>
      <w:r>
        <w:rPr>
          <w:rFonts w:ascii="Arial" w:hAnsi="Arial" w:cs="Arial"/>
          <w:color w:val="222222"/>
          <w:sz w:val="20"/>
          <w:szCs w:val="20"/>
          <w:shd w:val="clear" w:color="auto" w:fill="FFFFFF"/>
        </w:rPr>
        <w:t>.</w:t>
      </w:r>
    </w:p>
    <w:p w:rsidR="00770F07" w:rsidRPr="001931A5" w:rsidRDefault="00770F07" w:rsidP="00BC51B7">
      <w:pPr>
        <w:spacing w:after="120"/>
        <w:ind w:left="567" w:hanging="567"/>
        <w:rPr>
          <w:bCs/>
        </w:rPr>
      </w:pPr>
      <w:proofErr w:type="spellStart"/>
      <w:r w:rsidRPr="001931A5">
        <w:rPr>
          <w:bCs/>
        </w:rPr>
        <w:t>Wisker</w:t>
      </w:r>
      <w:proofErr w:type="spellEnd"/>
      <w:r w:rsidRPr="001931A5">
        <w:rPr>
          <w:bCs/>
        </w:rPr>
        <w:t>, G. (Ed.). (2000). </w:t>
      </w:r>
      <w:r w:rsidRPr="001931A5">
        <w:rPr>
          <w:bCs/>
          <w:i/>
          <w:iCs/>
        </w:rPr>
        <w:t>Good practice working with international students</w:t>
      </w:r>
      <w:r w:rsidRPr="001931A5">
        <w:rPr>
          <w:bCs/>
        </w:rPr>
        <w:t>. Birmingham: SEDA.</w:t>
      </w:r>
    </w:p>
    <w:p w:rsidR="00770F07" w:rsidRPr="00091389" w:rsidRDefault="00770F07" w:rsidP="00091389"/>
    <w:sectPr w:rsidR="00770F07" w:rsidRPr="00091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93F39"/>
    <w:multiLevelType w:val="hybridMultilevel"/>
    <w:tmpl w:val="87CE4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9B094D"/>
    <w:multiLevelType w:val="hybridMultilevel"/>
    <w:tmpl w:val="7C10E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960F1"/>
    <w:multiLevelType w:val="hybridMultilevel"/>
    <w:tmpl w:val="E670E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2D"/>
    <w:rsid w:val="00091389"/>
    <w:rsid w:val="000A7599"/>
    <w:rsid w:val="00102201"/>
    <w:rsid w:val="001931A5"/>
    <w:rsid w:val="002029CE"/>
    <w:rsid w:val="003C6603"/>
    <w:rsid w:val="004B7BDB"/>
    <w:rsid w:val="00550854"/>
    <w:rsid w:val="005C2050"/>
    <w:rsid w:val="005E1E60"/>
    <w:rsid w:val="00760049"/>
    <w:rsid w:val="00765667"/>
    <w:rsid w:val="00770F07"/>
    <w:rsid w:val="008B13FF"/>
    <w:rsid w:val="008F42E2"/>
    <w:rsid w:val="00947B59"/>
    <w:rsid w:val="009B1712"/>
    <w:rsid w:val="00B805D7"/>
    <w:rsid w:val="00BC51B7"/>
    <w:rsid w:val="00D45BEB"/>
    <w:rsid w:val="00D8717D"/>
    <w:rsid w:val="00E3702D"/>
    <w:rsid w:val="00F43C1B"/>
    <w:rsid w:val="00F51613"/>
    <w:rsid w:val="00F7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847B"/>
  <w15:chartTrackingRefBased/>
  <w15:docId w15:val="{9D19453F-34CE-4D0B-B788-8FD94410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389"/>
    <w:rPr>
      <w:color w:val="0563C1" w:themeColor="hyperlink"/>
      <w:u w:val="single"/>
    </w:rPr>
  </w:style>
  <w:style w:type="paragraph" w:styleId="ListParagraph">
    <w:name w:val="List Paragraph"/>
    <w:basedOn w:val="Normal"/>
    <w:uiPriority w:val="34"/>
    <w:qFormat/>
    <w:rsid w:val="00091389"/>
    <w:pPr>
      <w:ind w:left="720"/>
      <w:contextualSpacing/>
    </w:pPr>
  </w:style>
  <w:style w:type="character" w:customStyle="1" w:styleId="apple-converted-space">
    <w:name w:val="apple-converted-space"/>
    <w:basedOn w:val="DefaultParagraphFont"/>
    <w:rsid w:val="008B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9986">
      <w:bodyDiv w:val="1"/>
      <w:marLeft w:val="0"/>
      <w:marRight w:val="0"/>
      <w:marTop w:val="0"/>
      <w:marBottom w:val="0"/>
      <w:divBdr>
        <w:top w:val="none" w:sz="0" w:space="0" w:color="auto"/>
        <w:left w:val="none" w:sz="0" w:space="0" w:color="auto"/>
        <w:bottom w:val="none" w:sz="0" w:space="0" w:color="auto"/>
        <w:right w:val="none" w:sz="0" w:space="0" w:color="auto"/>
      </w:divBdr>
    </w:div>
    <w:div w:id="958610553">
      <w:bodyDiv w:val="1"/>
      <w:marLeft w:val="0"/>
      <w:marRight w:val="0"/>
      <w:marTop w:val="0"/>
      <w:marBottom w:val="0"/>
      <w:divBdr>
        <w:top w:val="none" w:sz="0" w:space="0" w:color="auto"/>
        <w:left w:val="none" w:sz="0" w:space="0" w:color="auto"/>
        <w:bottom w:val="none" w:sz="0" w:space="0" w:color="auto"/>
        <w:right w:val="none" w:sz="0" w:space="0" w:color="auto"/>
      </w:divBdr>
    </w:div>
    <w:div w:id="209211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ac.uk/your-university/teaching-and-learning/inclusivity/inclusive-assessment" TargetMode="External"/><Relationship Id="rId3" Type="http://schemas.openxmlformats.org/officeDocument/2006/relationships/settings" Target="settings.xml"/><Relationship Id="rId7" Type="http://schemas.openxmlformats.org/officeDocument/2006/relationships/hyperlink" Target="https://www.plymouth.ac.uk/your-university/teaching-and-learning/inclusivity/inclusive-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cademy.ac.uk/assessment" TargetMode="External"/><Relationship Id="rId5" Type="http://schemas.openxmlformats.org/officeDocument/2006/relationships/hyperlink" Target="http://www.heacademy.ac.uk/assess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2016-06-12T19:58:00Z</dcterms:created>
  <dcterms:modified xsi:type="dcterms:W3CDTF">2016-06-12T19:58:00Z</dcterms:modified>
</cp:coreProperties>
</file>