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DE8" w:rsidRPr="00C125B9" w:rsidRDefault="00C125B9">
      <w:pPr>
        <w:rPr>
          <w:rFonts w:cs="Arial"/>
          <w:b/>
          <w:sz w:val="24"/>
          <w:szCs w:val="20"/>
        </w:rPr>
      </w:pPr>
      <w:r w:rsidRPr="00C125B9">
        <w:rPr>
          <w:rFonts w:cs="Arial"/>
          <w:b/>
          <w:sz w:val="24"/>
          <w:szCs w:val="20"/>
        </w:rPr>
        <w:t>Inclusive Assessment C</w:t>
      </w:r>
      <w:r w:rsidR="00621581" w:rsidRPr="00C125B9">
        <w:rPr>
          <w:rFonts w:cs="Arial"/>
          <w:b/>
          <w:sz w:val="24"/>
          <w:szCs w:val="20"/>
        </w:rPr>
        <w:t>onference at Plymouth</w:t>
      </w:r>
      <w:r w:rsidRPr="00C125B9">
        <w:rPr>
          <w:rFonts w:cs="Arial"/>
          <w:b/>
          <w:sz w:val="24"/>
          <w:szCs w:val="20"/>
        </w:rPr>
        <w:t xml:space="preserve"> University</w:t>
      </w:r>
    </w:p>
    <w:p w:rsidR="00AB4436" w:rsidRPr="00143DE8" w:rsidRDefault="00621581">
      <w:pPr>
        <w:rPr>
          <w:rFonts w:cs="Arial"/>
          <w:b/>
          <w:sz w:val="20"/>
          <w:szCs w:val="20"/>
        </w:rPr>
      </w:pPr>
      <w:r w:rsidRPr="00143DE8">
        <w:rPr>
          <w:rFonts w:cs="Arial"/>
          <w:b/>
          <w:sz w:val="20"/>
          <w:szCs w:val="20"/>
        </w:rPr>
        <w:t>Inclusive international assessment: Sally Brown, Independent consultant and Visiting Professor at Plymouth University</w:t>
      </w:r>
      <w:r w:rsidR="00C125B9">
        <w:rPr>
          <w:rFonts w:cs="Arial"/>
          <w:b/>
          <w:sz w:val="20"/>
          <w:szCs w:val="20"/>
        </w:rPr>
        <w:t xml:space="preserve">. </w:t>
      </w:r>
      <w:r w:rsidRPr="00143DE8">
        <w:rPr>
          <w:rFonts w:cs="Arial"/>
          <w:b/>
          <w:sz w:val="20"/>
          <w:szCs w:val="20"/>
        </w:rPr>
        <w:t xml:space="preserve"> </w:t>
      </w:r>
      <w:hyperlink r:id="rId7" w:history="1">
        <w:r w:rsidR="002919F5" w:rsidRPr="00D62FF0">
          <w:rPr>
            <w:rStyle w:val="Hyperlink"/>
            <w:rFonts w:cs="Arial"/>
            <w:b/>
            <w:sz w:val="20"/>
            <w:szCs w:val="20"/>
          </w:rPr>
          <w:t>ht</w:t>
        </w:r>
        <w:r w:rsidR="002919F5" w:rsidRPr="00D62FF0">
          <w:rPr>
            <w:rStyle w:val="Hyperlink"/>
            <w:rFonts w:cs="Arial"/>
            <w:b/>
            <w:sz w:val="20"/>
            <w:szCs w:val="20"/>
          </w:rPr>
          <w:t>t</w:t>
        </w:r>
        <w:r w:rsidR="002919F5" w:rsidRPr="00D62FF0">
          <w:rPr>
            <w:rStyle w:val="Hyperlink"/>
            <w:rFonts w:cs="Arial"/>
            <w:b/>
            <w:sz w:val="20"/>
            <w:szCs w:val="20"/>
          </w:rPr>
          <w:t>p://sally-brown.net/</w:t>
        </w:r>
      </w:hyperlink>
      <w:r w:rsidR="002919F5">
        <w:rPr>
          <w:rFonts w:cs="Arial"/>
          <w:b/>
          <w:sz w:val="20"/>
          <w:szCs w:val="20"/>
        </w:rPr>
        <w:t xml:space="preserve"> </w:t>
      </w:r>
    </w:p>
    <w:p w:rsidR="00621581" w:rsidRPr="00143DE8" w:rsidRDefault="00621581" w:rsidP="00621581">
      <w:pPr>
        <w:rPr>
          <w:rFonts w:cs="Arial"/>
          <w:b/>
          <w:sz w:val="20"/>
          <w:szCs w:val="20"/>
        </w:rPr>
      </w:pPr>
      <w:r w:rsidRPr="00143DE8">
        <w:rPr>
          <w:rFonts w:cs="Arial"/>
          <w:b/>
          <w:sz w:val="20"/>
          <w:szCs w:val="20"/>
        </w:rPr>
        <w:t>Some questions on perspectives on assessment</w:t>
      </w:r>
      <w:r w:rsidR="00143DE8">
        <w:rPr>
          <w:rFonts w:cs="Arial"/>
          <w:b/>
          <w:sz w:val="20"/>
          <w:szCs w:val="20"/>
        </w:rPr>
        <w:t xml:space="preserve"> </w:t>
      </w:r>
      <w:r w:rsidRPr="00143DE8">
        <w:rPr>
          <w:rFonts w:cs="Arial"/>
          <w:sz w:val="20"/>
          <w:szCs w:val="20"/>
        </w:rPr>
        <w:t>(adapted from Brown. S.</w:t>
      </w:r>
      <w:r w:rsidR="00C125B9">
        <w:rPr>
          <w:rFonts w:cs="Arial"/>
          <w:sz w:val="20"/>
          <w:szCs w:val="20"/>
        </w:rPr>
        <w:t xml:space="preserve"> </w:t>
      </w:r>
      <w:r w:rsidRPr="00143DE8">
        <w:rPr>
          <w:rFonts w:cs="Arial"/>
          <w:sz w:val="20"/>
          <w:szCs w:val="20"/>
        </w:rPr>
        <w:t>Chapter 1 of Assessment, learning and Teaching in Higher Education: Global Perspectives, Palgrave, 2015)</w:t>
      </w:r>
    </w:p>
    <w:tbl>
      <w:tblPr>
        <w:tblStyle w:val="TableGrid1"/>
        <w:tblW w:w="0" w:type="auto"/>
        <w:tblLook w:val="04A0"/>
      </w:tblPr>
      <w:tblGrid>
        <w:gridCol w:w="470"/>
        <w:gridCol w:w="3622"/>
        <w:gridCol w:w="1418"/>
        <w:gridCol w:w="985"/>
        <w:gridCol w:w="1425"/>
        <w:gridCol w:w="5953"/>
      </w:tblGrid>
      <w:tr w:rsidR="00143DE8" w:rsidRPr="00143DE8" w:rsidTr="006823B4">
        <w:trPr>
          <w:tblHeader/>
        </w:trPr>
        <w:tc>
          <w:tcPr>
            <w:tcW w:w="470" w:type="dxa"/>
          </w:tcPr>
          <w:p w:rsidR="00621581" w:rsidRPr="00143DE8" w:rsidRDefault="00621581" w:rsidP="00160D23">
            <w:pPr>
              <w:rPr>
                <w:rFonts w:cs="Arial"/>
                <w:sz w:val="20"/>
                <w:szCs w:val="20"/>
              </w:rPr>
            </w:pPr>
          </w:p>
        </w:tc>
        <w:tc>
          <w:tcPr>
            <w:tcW w:w="3622" w:type="dxa"/>
          </w:tcPr>
          <w:p w:rsidR="00621581" w:rsidRPr="00143DE8" w:rsidRDefault="00621581" w:rsidP="00160D23">
            <w:pPr>
              <w:rPr>
                <w:rFonts w:cs="Arial"/>
                <w:b/>
                <w:sz w:val="20"/>
                <w:szCs w:val="20"/>
              </w:rPr>
            </w:pPr>
          </w:p>
          <w:p w:rsidR="00621581" w:rsidRPr="00143DE8" w:rsidRDefault="00621581" w:rsidP="00160D23">
            <w:pPr>
              <w:rPr>
                <w:rFonts w:cs="Arial"/>
                <w:b/>
                <w:sz w:val="20"/>
                <w:szCs w:val="20"/>
              </w:rPr>
            </w:pPr>
            <w:r w:rsidRPr="00143DE8">
              <w:rPr>
                <w:rFonts w:cs="Arial"/>
                <w:b/>
                <w:sz w:val="20"/>
                <w:szCs w:val="20"/>
              </w:rPr>
              <w:t>Would you as a lecturer/academic tutor:</w:t>
            </w:r>
          </w:p>
        </w:tc>
        <w:tc>
          <w:tcPr>
            <w:tcW w:w="1418" w:type="dxa"/>
          </w:tcPr>
          <w:p w:rsidR="00621581" w:rsidRPr="00143DE8" w:rsidRDefault="00621581" w:rsidP="00160D23">
            <w:pPr>
              <w:rPr>
                <w:rFonts w:cs="Arial"/>
                <w:sz w:val="20"/>
                <w:szCs w:val="20"/>
              </w:rPr>
            </w:pPr>
            <w:r w:rsidRPr="00143DE8">
              <w:rPr>
                <w:rFonts w:cs="Arial"/>
                <w:color w:val="000000"/>
                <w:sz w:val="20"/>
                <w:szCs w:val="20"/>
              </w:rPr>
              <w:t>Of course, without hesitation what's the problem?</w:t>
            </w:r>
          </w:p>
        </w:tc>
        <w:tc>
          <w:tcPr>
            <w:tcW w:w="985" w:type="dxa"/>
          </w:tcPr>
          <w:p w:rsidR="00621581" w:rsidRPr="00143DE8" w:rsidRDefault="00621581" w:rsidP="00160D23">
            <w:pPr>
              <w:rPr>
                <w:rFonts w:cs="Arial"/>
                <w:sz w:val="20"/>
                <w:szCs w:val="20"/>
              </w:rPr>
            </w:pPr>
            <w:r w:rsidRPr="00143DE8">
              <w:rPr>
                <w:rFonts w:cs="Arial"/>
                <w:color w:val="000000"/>
                <w:sz w:val="20"/>
                <w:szCs w:val="20"/>
              </w:rPr>
              <w:t>It depends. Possibly.</w:t>
            </w:r>
          </w:p>
        </w:tc>
        <w:tc>
          <w:tcPr>
            <w:tcW w:w="1425" w:type="dxa"/>
          </w:tcPr>
          <w:p w:rsidR="00621581" w:rsidRPr="00143DE8" w:rsidRDefault="00621581" w:rsidP="00160D23">
            <w:pPr>
              <w:rPr>
                <w:rFonts w:cs="Arial"/>
                <w:sz w:val="20"/>
                <w:szCs w:val="20"/>
              </w:rPr>
            </w:pPr>
            <w:r w:rsidRPr="00143DE8">
              <w:rPr>
                <w:rFonts w:cs="Arial"/>
                <w:color w:val="000000"/>
                <w:sz w:val="20"/>
                <w:szCs w:val="20"/>
              </w:rPr>
              <w:t>Under no circumstances. It would be completely inappropriate</w:t>
            </w:r>
          </w:p>
        </w:tc>
        <w:tc>
          <w:tcPr>
            <w:tcW w:w="5953" w:type="dxa"/>
          </w:tcPr>
          <w:p w:rsidR="00621581" w:rsidRPr="00143DE8" w:rsidRDefault="00621581" w:rsidP="00160D23">
            <w:pPr>
              <w:rPr>
                <w:rFonts w:cs="Arial"/>
                <w:sz w:val="20"/>
                <w:szCs w:val="20"/>
              </w:rPr>
            </w:pPr>
            <w:r w:rsidRPr="00143DE8">
              <w:rPr>
                <w:rFonts w:cs="Arial"/>
                <w:sz w:val="20"/>
                <w:szCs w:val="20"/>
              </w:rPr>
              <w:t>Comments</w:t>
            </w:r>
          </w:p>
        </w:tc>
      </w:tr>
      <w:tr w:rsidR="00143DE8" w:rsidRPr="00143DE8" w:rsidTr="00C125B9">
        <w:tc>
          <w:tcPr>
            <w:tcW w:w="470" w:type="dxa"/>
          </w:tcPr>
          <w:p w:rsidR="00621581" w:rsidRPr="00143DE8" w:rsidRDefault="00621581" w:rsidP="00160D23">
            <w:pPr>
              <w:rPr>
                <w:rFonts w:cs="Arial"/>
                <w:sz w:val="20"/>
                <w:szCs w:val="20"/>
              </w:rPr>
            </w:pPr>
            <w:r w:rsidRPr="00143DE8">
              <w:rPr>
                <w:rFonts w:cs="Arial"/>
                <w:sz w:val="20"/>
                <w:szCs w:val="20"/>
              </w:rPr>
              <w:t>1</w:t>
            </w:r>
          </w:p>
        </w:tc>
        <w:tc>
          <w:tcPr>
            <w:tcW w:w="3622" w:type="dxa"/>
          </w:tcPr>
          <w:p w:rsidR="00621581" w:rsidRPr="00143DE8" w:rsidRDefault="00621581" w:rsidP="00160D23">
            <w:pPr>
              <w:rPr>
                <w:rFonts w:cs="Arial"/>
                <w:sz w:val="20"/>
                <w:szCs w:val="20"/>
              </w:rPr>
            </w:pPr>
            <w:r w:rsidRPr="00143DE8">
              <w:rPr>
                <w:rFonts w:cs="Arial"/>
                <w:color w:val="000000"/>
                <w:sz w:val="20"/>
                <w:szCs w:val="20"/>
              </w:rPr>
              <w:t>Encourage your students to pose opposing views to your own in their essays?</w:t>
            </w:r>
          </w:p>
        </w:tc>
        <w:tc>
          <w:tcPr>
            <w:tcW w:w="1418" w:type="dxa"/>
          </w:tcPr>
          <w:p w:rsidR="00621581" w:rsidRPr="00143DE8" w:rsidRDefault="00621581" w:rsidP="00160D23">
            <w:pPr>
              <w:rPr>
                <w:rFonts w:cs="Arial"/>
                <w:sz w:val="20"/>
                <w:szCs w:val="20"/>
              </w:rPr>
            </w:pPr>
          </w:p>
        </w:tc>
        <w:tc>
          <w:tcPr>
            <w:tcW w:w="985" w:type="dxa"/>
          </w:tcPr>
          <w:p w:rsidR="00621581" w:rsidRPr="00143DE8" w:rsidRDefault="00621581" w:rsidP="00160D23">
            <w:pPr>
              <w:rPr>
                <w:rFonts w:cs="Arial"/>
                <w:sz w:val="20"/>
                <w:szCs w:val="20"/>
              </w:rPr>
            </w:pPr>
          </w:p>
        </w:tc>
        <w:tc>
          <w:tcPr>
            <w:tcW w:w="1425" w:type="dxa"/>
          </w:tcPr>
          <w:p w:rsidR="00621581" w:rsidRPr="00143DE8" w:rsidRDefault="00621581" w:rsidP="00160D23">
            <w:pPr>
              <w:rPr>
                <w:rFonts w:cs="Arial"/>
                <w:sz w:val="20"/>
                <w:szCs w:val="20"/>
              </w:rPr>
            </w:pPr>
          </w:p>
        </w:tc>
        <w:tc>
          <w:tcPr>
            <w:tcW w:w="5953" w:type="dxa"/>
          </w:tcPr>
          <w:p w:rsidR="00621581" w:rsidRPr="00143DE8" w:rsidRDefault="00621581" w:rsidP="00160D23">
            <w:pPr>
              <w:rPr>
                <w:rFonts w:cs="Arial"/>
                <w:sz w:val="20"/>
                <w:szCs w:val="20"/>
              </w:rPr>
            </w:pPr>
            <w:r w:rsidRPr="00143DE8">
              <w:rPr>
                <w:rFonts w:cs="Arial"/>
                <w:sz w:val="20"/>
                <w:szCs w:val="20"/>
              </w:rPr>
              <w:t>Would your response be the same in relation to seminars, lectures, tutorials, private conversations?</w:t>
            </w:r>
          </w:p>
        </w:tc>
      </w:tr>
      <w:tr w:rsidR="00143DE8" w:rsidRPr="00143DE8" w:rsidTr="00C125B9">
        <w:tc>
          <w:tcPr>
            <w:tcW w:w="470" w:type="dxa"/>
          </w:tcPr>
          <w:p w:rsidR="00621581" w:rsidRPr="00143DE8" w:rsidRDefault="00621581" w:rsidP="00160D23">
            <w:pPr>
              <w:rPr>
                <w:rFonts w:cs="Arial"/>
                <w:sz w:val="20"/>
                <w:szCs w:val="20"/>
              </w:rPr>
            </w:pPr>
            <w:r w:rsidRPr="00143DE8">
              <w:rPr>
                <w:rFonts w:cs="Arial"/>
                <w:sz w:val="20"/>
                <w:szCs w:val="20"/>
              </w:rPr>
              <w:t>2</w:t>
            </w:r>
          </w:p>
        </w:tc>
        <w:tc>
          <w:tcPr>
            <w:tcW w:w="3622" w:type="dxa"/>
          </w:tcPr>
          <w:p w:rsidR="00621581" w:rsidRPr="00143DE8" w:rsidRDefault="00621581" w:rsidP="00160D23">
            <w:pPr>
              <w:rPr>
                <w:rFonts w:cs="Arial"/>
                <w:sz w:val="20"/>
                <w:szCs w:val="20"/>
              </w:rPr>
            </w:pPr>
            <w:r w:rsidRPr="00143DE8">
              <w:rPr>
                <w:rFonts w:cs="Arial"/>
                <w:color w:val="000000"/>
                <w:sz w:val="20"/>
                <w:szCs w:val="20"/>
              </w:rPr>
              <w:t>Meet up with your students in a bar after classes to discuss assignments?</w:t>
            </w:r>
          </w:p>
        </w:tc>
        <w:tc>
          <w:tcPr>
            <w:tcW w:w="1418" w:type="dxa"/>
          </w:tcPr>
          <w:p w:rsidR="00621581" w:rsidRPr="00143DE8" w:rsidRDefault="00621581" w:rsidP="00160D23">
            <w:pPr>
              <w:rPr>
                <w:rFonts w:cs="Arial"/>
                <w:sz w:val="20"/>
                <w:szCs w:val="20"/>
              </w:rPr>
            </w:pPr>
          </w:p>
        </w:tc>
        <w:tc>
          <w:tcPr>
            <w:tcW w:w="985" w:type="dxa"/>
          </w:tcPr>
          <w:p w:rsidR="00621581" w:rsidRPr="00143DE8" w:rsidRDefault="00621581" w:rsidP="00160D23">
            <w:pPr>
              <w:rPr>
                <w:rFonts w:cs="Arial"/>
                <w:sz w:val="20"/>
                <w:szCs w:val="20"/>
              </w:rPr>
            </w:pPr>
          </w:p>
        </w:tc>
        <w:tc>
          <w:tcPr>
            <w:tcW w:w="1425" w:type="dxa"/>
          </w:tcPr>
          <w:p w:rsidR="00621581" w:rsidRPr="00143DE8" w:rsidRDefault="00621581" w:rsidP="00160D23">
            <w:pPr>
              <w:rPr>
                <w:rFonts w:cs="Arial"/>
                <w:sz w:val="20"/>
                <w:szCs w:val="20"/>
              </w:rPr>
            </w:pPr>
          </w:p>
        </w:tc>
        <w:tc>
          <w:tcPr>
            <w:tcW w:w="5953" w:type="dxa"/>
          </w:tcPr>
          <w:p w:rsidR="00621581" w:rsidRPr="00143DE8" w:rsidRDefault="00621581" w:rsidP="00160D23">
            <w:pPr>
              <w:rPr>
                <w:rFonts w:cs="Arial"/>
                <w:sz w:val="20"/>
                <w:szCs w:val="20"/>
              </w:rPr>
            </w:pPr>
            <w:r w:rsidRPr="00143DE8">
              <w:rPr>
                <w:rFonts w:cs="Arial"/>
                <w:sz w:val="20"/>
                <w:szCs w:val="20"/>
              </w:rPr>
              <w:t>If you said no, is the issue meeting outside class, or is it the location? (a place where alcohol is served?)</w:t>
            </w:r>
          </w:p>
        </w:tc>
      </w:tr>
      <w:tr w:rsidR="00143DE8" w:rsidRPr="00143DE8" w:rsidTr="00C125B9">
        <w:tc>
          <w:tcPr>
            <w:tcW w:w="470" w:type="dxa"/>
          </w:tcPr>
          <w:p w:rsidR="00621581" w:rsidRPr="00143DE8" w:rsidRDefault="00621581" w:rsidP="00160D23">
            <w:pPr>
              <w:rPr>
                <w:rFonts w:cs="Arial"/>
                <w:sz w:val="20"/>
                <w:szCs w:val="20"/>
              </w:rPr>
            </w:pPr>
            <w:r w:rsidRPr="00143DE8">
              <w:rPr>
                <w:rFonts w:cs="Arial"/>
                <w:sz w:val="20"/>
                <w:szCs w:val="20"/>
              </w:rPr>
              <w:t>3</w:t>
            </w:r>
          </w:p>
        </w:tc>
        <w:tc>
          <w:tcPr>
            <w:tcW w:w="3622" w:type="dxa"/>
          </w:tcPr>
          <w:p w:rsidR="00621581" w:rsidRPr="00143DE8" w:rsidRDefault="00621581" w:rsidP="00160D23">
            <w:pPr>
              <w:rPr>
                <w:rFonts w:cs="Arial"/>
                <w:sz w:val="20"/>
                <w:szCs w:val="20"/>
              </w:rPr>
            </w:pPr>
            <w:r w:rsidRPr="00143DE8">
              <w:rPr>
                <w:rFonts w:cs="Arial"/>
                <w:color w:val="000000"/>
                <w:sz w:val="20"/>
                <w:szCs w:val="20"/>
              </w:rPr>
              <w:t>Provide detailed feedback and advice on draft assignments?</w:t>
            </w:r>
          </w:p>
        </w:tc>
        <w:tc>
          <w:tcPr>
            <w:tcW w:w="1418" w:type="dxa"/>
          </w:tcPr>
          <w:p w:rsidR="00621581" w:rsidRPr="00143DE8" w:rsidRDefault="00621581" w:rsidP="00160D23">
            <w:pPr>
              <w:rPr>
                <w:rFonts w:cs="Arial"/>
                <w:sz w:val="20"/>
                <w:szCs w:val="20"/>
              </w:rPr>
            </w:pPr>
          </w:p>
        </w:tc>
        <w:tc>
          <w:tcPr>
            <w:tcW w:w="985" w:type="dxa"/>
          </w:tcPr>
          <w:p w:rsidR="00621581" w:rsidRPr="00143DE8" w:rsidRDefault="00621581" w:rsidP="00160D23">
            <w:pPr>
              <w:rPr>
                <w:rFonts w:cs="Arial"/>
                <w:sz w:val="20"/>
                <w:szCs w:val="20"/>
              </w:rPr>
            </w:pPr>
          </w:p>
        </w:tc>
        <w:tc>
          <w:tcPr>
            <w:tcW w:w="1425" w:type="dxa"/>
          </w:tcPr>
          <w:p w:rsidR="00621581" w:rsidRPr="00143DE8" w:rsidRDefault="00621581" w:rsidP="00160D23">
            <w:pPr>
              <w:rPr>
                <w:rFonts w:cs="Arial"/>
                <w:sz w:val="20"/>
                <w:szCs w:val="20"/>
              </w:rPr>
            </w:pPr>
          </w:p>
        </w:tc>
        <w:tc>
          <w:tcPr>
            <w:tcW w:w="5953" w:type="dxa"/>
          </w:tcPr>
          <w:p w:rsidR="00621581" w:rsidRPr="00143DE8" w:rsidRDefault="00621581" w:rsidP="00830628">
            <w:pPr>
              <w:rPr>
                <w:rFonts w:cs="Arial"/>
                <w:sz w:val="20"/>
                <w:szCs w:val="20"/>
              </w:rPr>
            </w:pPr>
            <w:r w:rsidRPr="00143DE8">
              <w:rPr>
                <w:rFonts w:cs="Arial"/>
                <w:sz w:val="20"/>
                <w:szCs w:val="20"/>
              </w:rPr>
              <w:t>Does this depend upon the stage within the programme? In some countries very detailed feedback on drafts is an expectation at all levels.</w:t>
            </w:r>
          </w:p>
        </w:tc>
      </w:tr>
      <w:tr w:rsidR="00143DE8" w:rsidRPr="00143DE8" w:rsidTr="00C125B9">
        <w:tc>
          <w:tcPr>
            <w:tcW w:w="470" w:type="dxa"/>
          </w:tcPr>
          <w:p w:rsidR="00621581" w:rsidRPr="00143DE8" w:rsidRDefault="00621581" w:rsidP="00160D23">
            <w:pPr>
              <w:rPr>
                <w:rFonts w:cs="Arial"/>
                <w:sz w:val="20"/>
                <w:szCs w:val="20"/>
              </w:rPr>
            </w:pPr>
            <w:r w:rsidRPr="00143DE8">
              <w:rPr>
                <w:rFonts w:cs="Arial"/>
                <w:sz w:val="20"/>
                <w:szCs w:val="20"/>
              </w:rPr>
              <w:t>4</w:t>
            </w:r>
          </w:p>
        </w:tc>
        <w:tc>
          <w:tcPr>
            <w:tcW w:w="3622" w:type="dxa"/>
          </w:tcPr>
          <w:p w:rsidR="00621581" w:rsidRPr="00143DE8" w:rsidRDefault="00621581" w:rsidP="00160D23">
            <w:pPr>
              <w:rPr>
                <w:rFonts w:cs="Arial"/>
                <w:sz w:val="20"/>
                <w:szCs w:val="20"/>
              </w:rPr>
            </w:pPr>
            <w:r w:rsidRPr="00143DE8">
              <w:rPr>
                <w:rFonts w:cs="Arial"/>
                <w:color w:val="000000"/>
                <w:sz w:val="20"/>
                <w:szCs w:val="20"/>
              </w:rPr>
              <w:t>Routinely spend an hour with your students after a lecture discussing queries?</w:t>
            </w:r>
          </w:p>
        </w:tc>
        <w:tc>
          <w:tcPr>
            <w:tcW w:w="1418" w:type="dxa"/>
          </w:tcPr>
          <w:p w:rsidR="00621581" w:rsidRPr="00143DE8" w:rsidRDefault="00621581" w:rsidP="00160D23">
            <w:pPr>
              <w:rPr>
                <w:rFonts w:cs="Arial"/>
                <w:sz w:val="20"/>
                <w:szCs w:val="20"/>
              </w:rPr>
            </w:pPr>
          </w:p>
        </w:tc>
        <w:tc>
          <w:tcPr>
            <w:tcW w:w="985" w:type="dxa"/>
          </w:tcPr>
          <w:p w:rsidR="00621581" w:rsidRPr="00143DE8" w:rsidRDefault="00621581" w:rsidP="00160D23">
            <w:pPr>
              <w:rPr>
                <w:rFonts w:cs="Arial"/>
                <w:sz w:val="20"/>
                <w:szCs w:val="20"/>
              </w:rPr>
            </w:pPr>
          </w:p>
        </w:tc>
        <w:tc>
          <w:tcPr>
            <w:tcW w:w="1425" w:type="dxa"/>
          </w:tcPr>
          <w:p w:rsidR="00621581" w:rsidRPr="00143DE8" w:rsidRDefault="00621581" w:rsidP="00160D23">
            <w:pPr>
              <w:rPr>
                <w:rFonts w:cs="Arial"/>
                <w:sz w:val="20"/>
                <w:szCs w:val="20"/>
              </w:rPr>
            </w:pPr>
          </w:p>
        </w:tc>
        <w:tc>
          <w:tcPr>
            <w:tcW w:w="5953" w:type="dxa"/>
          </w:tcPr>
          <w:p w:rsidR="00621581" w:rsidRPr="00143DE8" w:rsidRDefault="00621581" w:rsidP="00160D23">
            <w:pPr>
              <w:rPr>
                <w:rFonts w:cs="Arial"/>
                <w:sz w:val="20"/>
                <w:szCs w:val="20"/>
              </w:rPr>
            </w:pPr>
            <w:r w:rsidRPr="00143DE8">
              <w:rPr>
                <w:rFonts w:cs="Arial"/>
                <w:sz w:val="20"/>
                <w:szCs w:val="20"/>
              </w:rPr>
              <w:t>In some cultures academics are timetabled for at least an hour after lectures to clarify issues. In others, it’s normal to speed from one lecture to another.</w:t>
            </w:r>
          </w:p>
        </w:tc>
      </w:tr>
      <w:tr w:rsidR="00143DE8" w:rsidRPr="00143DE8" w:rsidTr="00C125B9">
        <w:tc>
          <w:tcPr>
            <w:tcW w:w="470" w:type="dxa"/>
          </w:tcPr>
          <w:p w:rsidR="00621581" w:rsidRPr="00143DE8" w:rsidRDefault="00621581" w:rsidP="00160D23">
            <w:pPr>
              <w:rPr>
                <w:rFonts w:cs="Arial"/>
                <w:sz w:val="20"/>
                <w:szCs w:val="20"/>
              </w:rPr>
            </w:pPr>
            <w:r w:rsidRPr="00143DE8">
              <w:rPr>
                <w:rFonts w:cs="Arial"/>
                <w:sz w:val="20"/>
                <w:szCs w:val="20"/>
              </w:rPr>
              <w:t>5</w:t>
            </w:r>
          </w:p>
        </w:tc>
        <w:tc>
          <w:tcPr>
            <w:tcW w:w="3622" w:type="dxa"/>
          </w:tcPr>
          <w:p w:rsidR="00621581" w:rsidRPr="00143DE8" w:rsidRDefault="00621581" w:rsidP="00160D23">
            <w:pPr>
              <w:rPr>
                <w:rFonts w:cs="Arial"/>
                <w:color w:val="000000"/>
                <w:sz w:val="20"/>
                <w:szCs w:val="20"/>
              </w:rPr>
            </w:pPr>
            <w:r w:rsidRPr="00143DE8">
              <w:rPr>
                <w:rFonts w:cs="Arial"/>
                <w:color w:val="000000"/>
                <w:sz w:val="20"/>
                <w:szCs w:val="20"/>
              </w:rPr>
              <w:t>Ask your students to call you by your first name in assessment discussions?</w:t>
            </w:r>
          </w:p>
        </w:tc>
        <w:tc>
          <w:tcPr>
            <w:tcW w:w="1418" w:type="dxa"/>
          </w:tcPr>
          <w:p w:rsidR="00621581" w:rsidRPr="00143DE8" w:rsidRDefault="00621581" w:rsidP="00160D23">
            <w:pPr>
              <w:rPr>
                <w:rFonts w:cs="Arial"/>
                <w:sz w:val="20"/>
                <w:szCs w:val="20"/>
              </w:rPr>
            </w:pPr>
          </w:p>
        </w:tc>
        <w:tc>
          <w:tcPr>
            <w:tcW w:w="985" w:type="dxa"/>
          </w:tcPr>
          <w:p w:rsidR="00621581" w:rsidRPr="00143DE8" w:rsidRDefault="00621581" w:rsidP="00160D23">
            <w:pPr>
              <w:rPr>
                <w:rFonts w:cs="Arial"/>
                <w:sz w:val="20"/>
                <w:szCs w:val="20"/>
              </w:rPr>
            </w:pPr>
          </w:p>
        </w:tc>
        <w:tc>
          <w:tcPr>
            <w:tcW w:w="1425" w:type="dxa"/>
          </w:tcPr>
          <w:p w:rsidR="00621581" w:rsidRPr="00143DE8" w:rsidRDefault="00621581" w:rsidP="00160D23">
            <w:pPr>
              <w:rPr>
                <w:rFonts w:cs="Arial"/>
                <w:sz w:val="20"/>
                <w:szCs w:val="20"/>
              </w:rPr>
            </w:pPr>
          </w:p>
        </w:tc>
        <w:tc>
          <w:tcPr>
            <w:tcW w:w="5953" w:type="dxa"/>
          </w:tcPr>
          <w:p w:rsidR="00621581" w:rsidRPr="00143DE8" w:rsidRDefault="00621581" w:rsidP="00160D23">
            <w:pPr>
              <w:rPr>
                <w:rFonts w:cs="Arial"/>
                <w:sz w:val="20"/>
                <w:szCs w:val="20"/>
              </w:rPr>
            </w:pPr>
            <w:r w:rsidRPr="00143DE8">
              <w:rPr>
                <w:rFonts w:cs="Arial"/>
                <w:sz w:val="20"/>
                <w:szCs w:val="20"/>
              </w:rPr>
              <w:t xml:space="preserve">Whether you do or not will depend on cultural </w:t>
            </w:r>
            <w:r w:rsidRPr="00143DE8">
              <w:rPr>
                <w:rFonts w:cs="Arial"/>
                <w:i/>
                <w:sz w:val="20"/>
                <w:szCs w:val="20"/>
              </w:rPr>
              <w:t>mores</w:t>
            </w:r>
            <w:r w:rsidRPr="00143DE8">
              <w:rPr>
                <w:rFonts w:cs="Arial"/>
                <w:sz w:val="20"/>
                <w:szCs w:val="20"/>
              </w:rPr>
              <w:t xml:space="preserve"> and the power distinction between academics and students. </w:t>
            </w:r>
          </w:p>
        </w:tc>
      </w:tr>
      <w:tr w:rsidR="00143DE8" w:rsidRPr="00143DE8" w:rsidTr="00C125B9">
        <w:tc>
          <w:tcPr>
            <w:tcW w:w="470" w:type="dxa"/>
          </w:tcPr>
          <w:p w:rsidR="00621581" w:rsidRPr="00143DE8" w:rsidRDefault="00621581" w:rsidP="00160D23">
            <w:pPr>
              <w:rPr>
                <w:rFonts w:cs="Arial"/>
                <w:sz w:val="20"/>
                <w:szCs w:val="20"/>
              </w:rPr>
            </w:pPr>
            <w:r w:rsidRPr="00143DE8">
              <w:rPr>
                <w:rFonts w:cs="Arial"/>
                <w:sz w:val="20"/>
                <w:szCs w:val="20"/>
              </w:rPr>
              <w:t>6</w:t>
            </w:r>
          </w:p>
        </w:tc>
        <w:tc>
          <w:tcPr>
            <w:tcW w:w="3622" w:type="dxa"/>
          </w:tcPr>
          <w:p w:rsidR="00621581" w:rsidRPr="00143DE8" w:rsidRDefault="00621581" w:rsidP="00160D23">
            <w:pPr>
              <w:rPr>
                <w:rFonts w:cs="Arial"/>
                <w:color w:val="000000"/>
                <w:sz w:val="20"/>
                <w:szCs w:val="20"/>
              </w:rPr>
            </w:pPr>
            <w:r w:rsidRPr="00143DE8">
              <w:rPr>
                <w:rFonts w:cs="Arial"/>
                <w:color w:val="000000"/>
                <w:sz w:val="20"/>
                <w:szCs w:val="20"/>
              </w:rPr>
              <w:t>Require your students to participate in assignments where they are assessed as members of a group?</w:t>
            </w:r>
          </w:p>
        </w:tc>
        <w:tc>
          <w:tcPr>
            <w:tcW w:w="1418" w:type="dxa"/>
          </w:tcPr>
          <w:p w:rsidR="00621581" w:rsidRPr="00143DE8" w:rsidRDefault="00621581" w:rsidP="00160D23">
            <w:pPr>
              <w:rPr>
                <w:rFonts w:cs="Arial"/>
                <w:sz w:val="20"/>
                <w:szCs w:val="20"/>
              </w:rPr>
            </w:pPr>
          </w:p>
        </w:tc>
        <w:tc>
          <w:tcPr>
            <w:tcW w:w="985" w:type="dxa"/>
          </w:tcPr>
          <w:p w:rsidR="00621581" w:rsidRPr="00143DE8" w:rsidRDefault="00621581" w:rsidP="00160D23">
            <w:pPr>
              <w:rPr>
                <w:rFonts w:cs="Arial"/>
                <w:sz w:val="20"/>
                <w:szCs w:val="20"/>
              </w:rPr>
            </w:pPr>
          </w:p>
        </w:tc>
        <w:tc>
          <w:tcPr>
            <w:tcW w:w="1425" w:type="dxa"/>
          </w:tcPr>
          <w:p w:rsidR="00621581" w:rsidRPr="00143DE8" w:rsidRDefault="00621581" w:rsidP="00160D23">
            <w:pPr>
              <w:rPr>
                <w:rFonts w:cs="Arial"/>
                <w:sz w:val="20"/>
                <w:szCs w:val="20"/>
              </w:rPr>
            </w:pPr>
          </w:p>
        </w:tc>
        <w:tc>
          <w:tcPr>
            <w:tcW w:w="5953" w:type="dxa"/>
          </w:tcPr>
          <w:p w:rsidR="00621581" w:rsidRPr="00143DE8" w:rsidRDefault="00621581" w:rsidP="00160D23">
            <w:pPr>
              <w:rPr>
                <w:rFonts w:cs="Arial"/>
                <w:sz w:val="20"/>
                <w:szCs w:val="20"/>
              </w:rPr>
            </w:pPr>
            <w:r w:rsidRPr="00143DE8">
              <w:rPr>
                <w:rFonts w:cs="Arial"/>
                <w:sz w:val="20"/>
                <w:szCs w:val="20"/>
              </w:rPr>
              <w:t xml:space="preserve">In some nations this is uncommon or indeed frowned on. </w:t>
            </w:r>
          </w:p>
        </w:tc>
      </w:tr>
      <w:tr w:rsidR="00143DE8" w:rsidRPr="00143DE8" w:rsidTr="00C125B9">
        <w:tc>
          <w:tcPr>
            <w:tcW w:w="470" w:type="dxa"/>
          </w:tcPr>
          <w:p w:rsidR="00621581" w:rsidRPr="00143DE8" w:rsidRDefault="00621581" w:rsidP="00160D23">
            <w:pPr>
              <w:rPr>
                <w:rFonts w:cs="Arial"/>
                <w:sz w:val="20"/>
                <w:szCs w:val="20"/>
              </w:rPr>
            </w:pPr>
            <w:r w:rsidRPr="00143DE8">
              <w:rPr>
                <w:rFonts w:cs="Arial"/>
                <w:sz w:val="20"/>
                <w:szCs w:val="20"/>
              </w:rPr>
              <w:t>7</w:t>
            </w:r>
          </w:p>
        </w:tc>
        <w:tc>
          <w:tcPr>
            <w:tcW w:w="3622" w:type="dxa"/>
          </w:tcPr>
          <w:p w:rsidR="00621581" w:rsidRPr="00143DE8" w:rsidRDefault="00621581" w:rsidP="00160D23">
            <w:pPr>
              <w:rPr>
                <w:rFonts w:cs="Arial"/>
                <w:color w:val="000000"/>
                <w:sz w:val="20"/>
                <w:szCs w:val="20"/>
              </w:rPr>
            </w:pPr>
            <w:r w:rsidRPr="00143DE8">
              <w:rPr>
                <w:rFonts w:cs="Arial"/>
                <w:color w:val="000000"/>
                <w:sz w:val="20"/>
                <w:szCs w:val="20"/>
              </w:rPr>
              <w:t xml:space="preserve">Allow your students to negotiate the </w:t>
            </w:r>
            <w:r w:rsidR="00264386" w:rsidRPr="00143DE8">
              <w:rPr>
                <w:rFonts w:cs="Arial"/>
                <w:color w:val="000000"/>
                <w:sz w:val="20"/>
                <w:szCs w:val="20"/>
              </w:rPr>
              <w:t xml:space="preserve">final </w:t>
            </w:r>
            <w:r w:rsidRPr="00143DE8">
              <w:rPr>
                <w:rFonts w:cs="Arial"/>
                <w:color w:val="000000"/>
                <w:sz w:val="20"/>
                <w:szCs w:val="20"/>
              </w:rPr>
              <w:t>mark you are awarding them?</w:t>
            </w:r>
          </w:p>
        </w:tc>
        <w:tc>
          <w:tcPr>
            <w:tcW w:w="1418" w:type="dxa"/>
          </w:tcPr>
          <w:p w:rsidR="00621581" w:rsidRPr="00143DE8" w:rsidRDefault="00621581" w:rsidP="00160D23">
            <w:pPr>
              <w:rPr>
                <w:rFonts w:cs="Arial"/>
                <w:sz w:val="20"/>
                <w:szCs w:val="20"/>
              </w:rPr>
            </w:pPr>
          </w:p>
        </w:tc>
        <w:tc>
          <w:tcPr>
            <w:tcW w:w="985" w:type="dxa"/>
          </w:tcPr>
          <w:p w:rsidR="00621581" w:rsidRPr="00143DE8" w:rsidRDefault="00621581" w:rsidP="00160D23">
            <w:pPr>
              <w:rPr>
                <w:rFonts w:cs="Arial"/>
                <w:sz w:val="20"/>
                <w:szCs w:val="20"/>
              </w:rPr>
            </w:pPr>
          </w:p>
        </w:tc>
        <w:tc>
          <w:tcPr>
            <w:tcW w:w="1425" w:type="dxa"/>
          </w:tcPr>
          <w:p w:rsidR="00621581" w:rsidRPr="00143DE8" w:rsidRDefault="00621581" w:rsidP="00160D23">
            <w:pPr>
              <w:rPr>
                <w:rFonts w:cs="Arial"/>
                <w:sz w:val="20"/>
                <w:szCs w:val="20"/>
              </w:rPr>
            </w:pPr>
          </w:p>
        </w:tc>
        <w:tc>
          <w:tcPr>
            <w:tcW w:w="5953" w:type="dxa"/>
          </w:tcPr>
          <w:p w:rsidR="00621581" w:rsidRPr="00143DE8" w:rsidRDefault="00621581" w:rsidP="00160D23">
            <w:pPr>
              <w:rPr>
                <w:rFonts w:cs="Arial"/>
                <w:sz w:val="20"/>
                <w:szCs w:val="20"/>
              </w:rPr>
            </w:pPr>
            <w:r w:rsidRPr="00143DE8">
              <w:rPr>
                <w:rFonts w:cs="Arial"/>
                <w:sz w:val="20"/>
                <w:szCs w:val="20"/>
              </w:rPr>
              <w:t>Might it be possible for students to convince you that they deserved a higher mark? Or is this completely out of the question?</w:t>
            </w:r>
          </w:p>
        </w:tc>
      </w:tr>
      <w:tr w:rsidR="00143DE8" w:rsidRPr="00143DE8" w:rsidTr="00C125B9">
        <w:tc>
          <w:tcPr>
            <w:tcW w:w="470" w:type="dxa"/>
          </w:tcPr>
          <w:p w:rsidR="00621581" w:rsidRPr="00143DE8" w:rsidRDefault="00621581" w:rsidP="00160D23">
            <w:pPr>
              <w:rPr>
                <w:rFonts w:cs="Arial"/>
                <w:sz w:val="20"/>
                <w:szCs w:val="20"/>
              </w:rPr>
            </w:pPr>
            <w:r w:rsidRPr="00143DE8">
              <w:rPr>
                <w:rFonts w:cs="Arial"/>
                <w:sz w:val="20"/>
                <w:szCs w:val="20"/>
              </w:rPr>
              <w:t>8</w:t>
            </w:r>
          </w:p>
        </w:tc>
        <w:tc>
          <w:tcPr>
            <w:tcW w:w="3622" w:type="dxa"/>
          </w:tcPr>
          <w:p w:rsidR="00621581" w:rsidRPr="00143DE8" w:rsidRDefault="00621581" w:rsidP="00160D23">
            <w:pPr>
              <w:rPr>
                <w:rFonts w:cs="Arial"/>
                <w:color w:val="000000"/>
                <w:sz w:val="20"/>
                <w:szCs w:val="20"/>
              </w:rPr>
            </w:pPr>
            <w:r w:rsidRPr="00143DE8">
              <w:rPr>
                <w:rFonts w:cs="Arial"/>
                <w:color w:val="000000"/>
                <w:sz w:val="20"/>
                <w:szCs w:val="20"/>
              </w:rPr>
              <w:t>Timetable exams on Friday afternoons, Saturdays or Sundays?</w:t>
            </w:r>
          </w:p>
        </w:tc>
        <w:tc>
          <w:tcPr>
            <w:tcW w:w="1418" w:type="dxa"/>
          </w:tcPr>
          <w:p w:rsidR="00621581" w:rsidRPr="00143DE8" w:rsidRDefault="00621581" w:rsidP="00160D23">
            <w:pPr>
              <w:rPr>
                <w:rFonts w:cs="Arial"/>
                <w:sz w:val="20"/>
                <w:szCs w:val="20"/>
              </w:rPr>
            </w:pPr>
          </w:p>
        </w:tc>
        <w:tc>
          <w:tcPr>
            <w:tcW w:w="985" w:type="dxa"/>
          </w:tcPr>
          <w:p w:rsidR="00621581" w:rsidRPr="00143DE8" w:rsidRDefault="00621581" w:rsidP="00160D23">
            <w:pPr>
              <w:rPr>
                <w:rFonts w:cs="Arial"/>
                <w:sz w:val="20"/>
                <w:szCs w:val="20"/>
              </w:rPr>
            </w:pPr>
          </w:p>
        </w:tc>
        <w:tc>
          <w:tcPr>
            <w:tcW w:w="1425" w:type="dxa"/>
          </w:tcPr>
          <w:p w:rsidR="00621581" w:rsidRPr="00143DE8" w:rsidRDefault="00621581" w:rsidP="00160D23">
            <w:pPr>
              <w:rPr>
                <w:rFonts w:cs="Arial"/>
                <w:sz w:val="20"/>
                <w:szCs w:val="20"/>
              </w:rPr>
            </w:pPr>
          </w:p>
        </w:tc>
        <w:tc>
          <w:tcPr>
            <w:tcW w:w="5953" w:type="dxa"/>
          </w:tcPr>
          <w:p w:rsidR="00621581" w:rsidRPr="00143DE8" w:rsidRDefault="00621581" w:rsidP="00160D23">
            <w:pPr>
              <w:rPr>
                <w:rFonts w:cs="Arial"/>
                <w:sz w:val="20"/>
                <w:szCs w:val="20"/>
              </w:rPr>
            </w:pPr>
            <w:r w:rsidRPr="00143DE8">
              <w:rPr>
                <w:rFonts w:cs="Arial"/>
                <w:sz w:val="20"/>
                <w:szCs w:val="20"/>
              </w:rPr>
              <w:t>This might be problematic for students with devout religious convictions.</w:t>
            </w:r>
          </w:p>
        </w:tc>
      </w:tr>
      <w:tr w:rsidR="00621581" w:rsidRPr="00143DE8" w:rsidTr="00C125B9">
        <w:tc>
          <w:tcPr>
            <w:tcW w:w="470" w:type="dxa"/>
          </w:tcPr>
          <w:p w:rsidR="00621581" w:rsidRPr="00143DE8" w:rsidRDefault="00621581" w:rsidP="00160D23">
            <w:pPr>
              <w:rPr>
                <w:rFonts w:cs="Arial"/>
                <w:sz w:val="20"/>
                <w:szCs w:val="20"/>
              </w:rPr>
            </w:pPr>
            <w:r w:rsidRPr="00143DE8">
              <w:rPr>
                <w:rFonts w:cs="Arial"/>
                <w:sz w:val="20"/>
                <w:szCs w:val="20"/>
              </w:rPr>
              <w:t>9</w:t>
            </w:r>
          </w:p>
        </w:tc>
        <w:tc>
          <w:tcPr>
            <w:tcW w:w="3622" w:type="dxa"/>
          </w:tcPr>
          <w:p w:rsidR="00621581" w:rsidRPr="00143DE8" w:rsidRDefault="00621581" w:rsidP="00621581">
            <w:pPr>
              <w:rPr>
                <w:rFonts w:cs="Arial"/>
                <w:color w:val="000000"/>
                <w:sz w:val="20"/>
                <w:szCs w:val="20"/>
              </w:rPr>
            </w:pPr>
            <w:r w:rsidRPr="00143DE8">
              <w:rPr>
                <w:rFonts w:cs="Arial"/>
                <w:color w:val="000000"/>
                <w:sz w:val="20"/>
                <w:szCs w:val="20"/>
              </w:rPr>
              <w:t>Use computer–based tests for final assignments?</w:t>
            </w:r>
          </w:p>
        </w:tc>
        <w:tc>
          <w:tcPr>
            <w:tcW w:w="1418" w:type="dxa"/>
          </w:tcPr>
          <w:p w:rsidR="00621581" w:rsidRPr="00143DE8" w:rsidRDefault="00621581" w:rsidP="00160D23">
            <w:pPr>
              <w:rPr>
                <w:rFonts w:cs="Arial"/>
                <w:sz w:val="20"/>
                <w:szCs w:val="20"/>
              </w:rPr>
            </w:pPr>
          </w:p>
        </w:tc>
        <w:tc>
          <w:tcPr>
            <w:tcW w:w="985" w:type="dxa"/>
          </w:tcPr>
          <w:p w:rsidR="00621581" w:rsidRPr="00143DE8" w:rsidRDefault="00621581" w:rsidP="00160D23">
            <w:pPr>
              <w:rPr>
                <w:rFonts w:cs="Arial"/>
                <w:sz w:val="20"/>
                <w:szCs w:val="20"/>
              </w:rPr>
            </w:pPr>
          </w:p>
        </w:tc>
        <w:tc>
          <w:tcPr>
            <w:tcW w:w="1425" w:type="dxa"/>
          </w:tcPr>
          <w:p w:rsidR="00621581" w:rsidRPr="00143DE8" w:rsidRDefault="00621581" w:rsidP="00160D23">
            <w:pPr>
              <w:rPr>
                <w:rFonts w:cs="Arial"/>
                <w:sz w:val="20"/>
                <w:szCs w:val="20"/>
              </w:rPr>
            </w:pPr>
          </w:p>
        </w:tc>
        <w:tc>
          <w:tcPr>
            <w:tcW w:w="5953" w:type="dxa"/>
          </w:tcPr>
          <w:p w:rsidR="00621581" w:rsidRPr="00143DE8" w:rsidRDefault="00621581" w:rsidP="00160D23">
            <w:pPr>
              <w:rPr>
                <w:rFonts w:cs="Arial"/>
                <w:sz w:val="20"/>
                <w:szCs w:val="20"/>
              </w:rPr>
            </w:pPr>
            <w:r w:rsidRPr="00143DE8">
              <w:rPr>
                <w:rFonts w:cs="Arial"/>
                <w:sz w:val="20"/>
                <w:szCs w:val="20"/>
              </w:rPr>
              <w:t>In many nations this is customary. Would your response depend on the types of questions used? or the subject material</w:t>
            </w:r>
          </w:p>
        </w:tc>
      </w:tr>
      <w:tr w:rsidR="00621581" w:rsidRPr="00143DE8" w:rsidTr="00C125B9">
        <w:tc>
          <w:tcPr>
            <w:tcW w:w="470" w:type="dxa"/>
          </w:tcPr>
          <w:p w:rsidR="00621581" w:rsidRPr="00143DE8" w:rsidRDefault="00621581" w:rsidP="00160D23">
            <w:pPr>
              <w:rPr>
                <w:rFonts w:cs="Arial"/>
                <w:sz w:val="20"/>
                <w:szCs w:val="20"/>
              </w:rPr>
            </w:pPr>
            <w:r w:rsidRPr="00143DE8">
              <w:rPr>
                <w:rFonts w:cs="Arial"/>
                <w:sz w:val="20"/>
                <w:szCs w:val="20"/>
              </w:rPr>
              <w:t>10.</w:t>
            </w:r>
          </w:p>
        </w:tc>
        <w:tc>
          <w:tcPr>
            <w:tcW w:w="3622" w:type="dxa"/>
          </w:tcPr>
          <w:p w:rsidR="00621581" w:rsidRPr="00143DE8" w:rsidRDefault="00621581" w:rsidP="00160D23">
            <w:pPr>
              <w:rPr>
                <w:rFonts w:cs="Arial"/>
                <w:color w:val="000000"/>
                <w:sz w:val="20"/>
                <w:szCs w:val="20"/>
              </w:rPr>
            </w:pPr>
            <w:r w:rsidRPr="00143DE8">
              <w:rPr>
                <w:rFonts w:cs="Arial"/>
                <w:color w:val="000000"/>
                <w:sz w:val="20"/>
                <w:szCs w:val="20"/>
              </w:rPr>
              <w:t xml:space="preserve">Examine your undergraduate students by </w:t>
            </w:r>
            <w:r w:rsidR="00264386" w:rsidRPr="00143DE8">
              <w:rPr>
                <w:rFonts w:cs="Arial"/>
                <w:color w:val="000000"/>
                <w:sz w:val="20"/>
                <w:szCs w:val="20"/>
              </w:rPr>
              <w:t xml:space="preserve">live oral exams/ </w:t>
            </w:r>
            <w:r w:rsidRPr="00143DE8">
              <w:rPr>
                <w:rFonts w:cs="Arial"/>
                <w:color w:val="000000"/>
                <w:sz w:val="20"/>
                <w:szCs w:val="20"/>
              </w:rPr>
              <w:t>vivas</w:t>
            </w:r>
            <w:r w:rsidR="00264386" w:rsidRPr="00143DE8">
              <w:rPr>
                <w:rFonts w:cs="Arial"/>
                <w:color w:val="000000"/>
                <w:sz w:val="20"/>
                <w:szCs w:val="20"/>
              </w:rPr>
              <w:t>?</w:t>
            </w:r>
          </w:p>
        </w:tc>
        <w:tc>
          <w:tcPr>
            <w:tcW w:w="1418" w:type="dxa"/>
          </w:tcPr>
          <w:p w:rsidR="00621581" w:rsidRPr="00143DE8" w:rsidRDefault="00621581" w:rsidP="00160D23">
            <w:pPr>
              <w:rPr>
                <w:rFonts w:cs="Arial"/>
                <w:sz w:val="20"/>
                <w:szCs w:val="20"/>
              </w:rPr>
            </w:pPr>
          </w:p>
        </w:tc>
        <w:tc>
          <w:tcPr>
            <w:tcW w:w="985" w:type="dxa"/>
          </w:tcPr>
          <w:p w:rsidR="00621581" w:rsidRPr="00143DE8" w:rsidRDefault="00621581" w:rsidP="00160D23">
            <w:pPr>
              <w:rPr>
                <w:rFonts w:cs="Arial"/>
                <w:sz w:val="20"/>
                <w:szCs w:val="20"/>
              </w:rPr>
            </w:pPr>
          </w:p>
        </w:tc>
        <w:tc>
          <w:tcPr>
            <w:tcW w:w="1425" w:type="dxa"/>
          </w:tcPr>
          <w:p w:rsidR="00621581" w:rsidRPr="00143DE8" w:rsidRDefault="00621581" w:rsidP="00160D23">
            <w:pPr>
              <w:rPr>
                <w:rFonts w:cs="Arial"/>
                <w:sz w:val="20"/>
                <w:szCs w:val="20"/>
              </w:rPr>
            </w:pPr>
          </w:p>
        </w:tc>
        <w:tc>
          <w:tcPr>
            <w:tcW w:w="5953" w:type="dxa"/>
          </w:tcPr>
          <w:p w:rsidR="00621581" w:rsidRDefault="00621581" w:rsidP="00621581">
            <w:pPr>
              <w:rPr>
                <w:rFonts w:cs="Arial"/>
                <w:sz w:val="20"/>
                <w:szCs w:val="20"/>
              </w:rPr>
            </w:pPr>
            <w:r w:rsidRPr="00143DE8">
              <w:rPr>
                <w:rFonts w:cs="Arial"/>
                <w:sz w:val="20"/>
                <w:szCs w:val="20"/>
              </w:rPr>
              <w:t>Vivas are often used for undergrads in Northern Europe but rarely so in the UK</w:t>
            </w:r>
            <w:r w:rsidR="00C125B9">
              <w:rPr>
                <w:rFonts w:cs="Arial"/>
                <w:sz w:val="20"/>
                <w:szCs w:val="20"/>
              </w:rPr>
              <w:t>.</w:t>
            </w:r>
          </w:p>
          <w:p w:rsidR="006823B4" w:rsidRPr="00143DE8" w:rsidRDefault="006823B4" w:rsidP="00621581">
            <w:pPr>
              <w:rPr>
                <w:rFonts w:cs="Arial"/>
                <w:sz w:val="20"/>
                <w:szCs w:val="20"/>
              </w:rPr>
            </w:pPr>
          </w:p>
        </w:tc>
      </w:tr>
      <w:tr w:rsidR="00621581" w:rsidRPr="00143DE8" w:rsidTr="00C125B9">
        <w:tc>
          <w:tcPr>
            <w:tcW w:w="470" w:type="dxa"/>
          </w:tcPr>
          <w:p w:rsidR="00621581" w:rsidRPr="00143DE8" w:rsidRDefault="00621581" w:rsidP="00160D23">
            <w:pPr>
              <w:rPr>
                <w:rFonts w:cs="Arial"/>
                <w:sz w:val="20"/>
                <w:szCs w:val="20"/>
              </w:rPr>
            </w:pPr>
            <w:r w:rsidRPr="00143DE8">
              <w:rPr>
                <w:rFonts w:cs="Arial"/>
                <w:sz w:val="20"/>
                <w:szCs w:val="20"/>
              </w:rPr>
              <w:lastRenderedPageBreak/>
              <w:t>11</w:t>
            </w:r>
          </w:p>
        </w:tc>
        <w:tc>
          <w:tcPr>
            <w:tcW w:w="3622" w:type="dxa"/>
          </w:tcPr>
          <w:p w:rsidR="00621581" w:rsidRPr="00143DE8" w:rsidRDefault="00621581" w:rsidP="00160D23">
            <w:pPr>
              <w:rPr>
                <w:rFonts w:cs="Arial"/>
                <w:color w:val="000000"/>
                <w:sz w:val="20"/>
                <w:szCs w:val="20"/>
              </w:rPr>
            </w:pPr>
            <w:r w:rsidRPr="00143DE8">
              <w:rPr>
                <w:rFonts w:cs="Arial"/>
                <w:color w:val="000000"/>
                <w:sz w:val="20"/>
                <w:szCs w:val="20"/>
              </w:rPr>
              <w:t>Require (or allow)</w:t>
            </w:r>
            <w:r w:rsidR="00C125B9">
              <w:rPr>
                <w:rFonts w:cs="Arial"/>
                <w:color w:val="000000"/>
                <w:sz w:val="20"/>
                <w:szCs w:val="20"/>
              </w:rPr>
              <w:t xml:space="preserve"> </w:t>
            </w:r>
            <w:r w:rsidRPr="00143DE8">
              <w:rPr>
                <w:rFonts w:cs="Arial"/>
                <w:color w:val="000000"/>
                <w:sz w:val="20"/>
                <w:szCs w:val="20"/>
              </w:rPr>
              <w:t>your students to negotiate the criteria on which they are being assessed</w:t>
            </w:r>
            <w:r w:rsidR="00264386" w:rsidRPr="00143DE8">
              <w:rPr>
                <w:rFonts w:cs="Arial"/>
                <w:color w:val="000000"/>
                <w:sz w:val="20"/>
                <w:szCs w:val="20"/>
              </w:rPr>
              <w:t>?</w:t>
            </w:r>
          </w:p>
        </w:tc>
        <w:tc>
          <w:tcPr>
            <w:tcW w:w="1418" w:type="dxa"/>
          </w:tcPr>
          <w:p w:rsidR="00621581" w:rsidRPr="00143DE8" w:rsidRDefault="00621581" w:rsidP="00160D23">
            <w:pPr>
              <w:rPr>
                <w:rFonts w:cs="Arial"/>
                <w:sz w:val="20"/>
                <w:szCs w:val="20"/>
              </w:rPr>
            </w:pPr>
          </w:p>
        </w:tc>
        <w:tc>
          <w:tcPr>
            <w:tcW w:w="985" w:type="dxa"/>
          </w:tcPr>
          <w:p w:rsidR="00621581" w:rsidRPr="00143DE8" w:rsidRDefault="00621581" w:rsidP="00160D23">
            <w:pPr>
              <w:rPr>
                <w:rFonts w:cs="Arial"/>
                <w:sz w:val="20"/>
                <w:szCs w:val="20"/>
              </w:rPr>
            </w:pPr>
          </w:p>
        </w:tc>
        <w:tc>
          <w:tcPr>
            <w:tcW w:w="1425" w:type="dxa"/>
          </w:tcPr>
          <w:p w:rsidR="00621581" w:rsidRPr="00143DE8" w:rsidRDefault="00621581" w:rsidP="00160D23">
            <w:pPr>
              <w:rPr>
                <w:rFonts w:cs="Arial"/>
                <w:sz w:val="20"/>
                <w:szCs w:val="20"/>
              </w:rPr>
            </w:pPr>
          </w:p>
        </w:tc>
        <w:tc>
          <w:tcPr>
            <w:tcW w:w="5953" w:type="dxa"/>
          </w:tcPr>
          <w:p w:rsidR="00621581" w:rsidRPr="00143DE8" w:rsidRDefault="002661F0" w:rsidP="00160D23">
            <w:pPr>
              <w:rPr>
                <w:rFonts w:cs="Arial"/>
                <w:sz w:val="20"/>
                <w:szCs w:val="20"/>
              </w:rPr>
            </w:pPr>
            <w:r w:rsidRPr="00143DE8">
              <w:rPr>
                <w:rFonts w:cs="Arial"/>
                <w:sz w:val="20"/>
                <w:szCs w:val="20"/>
              </w:rPr>
              <w:t>This is permitted/ encouraged for example in some nations e.g. Australia and New Zealand</w:t>
            </w:r>
          </w:p>
        </w:tc>
      </w:tr>
      <w:tr w:rsidR="00621581" w:rsidRPr="00143DE8" w:rsidTr="00C125B9">
        <w:tc>
          <w:tcPr>
            <w:tcW w:w="470" w:type="dxa"/>
          </w:tcPr>
          <w:p w:rsidR="00621581" w:rsidRPr="00143DE8" w:rsidRDefault="002661F0" w:rsidP="00160D23">
            <w:pPr>
              <w:rPr>
                <w:rFonts w:cs="Arial"/>
                <w:sz w:val="20"/>
                <w:szCs w:val="20"/>
              </w:rPr>
            </w:pPr>
            <w:r w:rsidRPr="00143DE8">
              <w:rPr>
                <w:rFonts w:cs="Arial"/>
                <w:sz w:val="20"/>
                <w:szCs w:val="20"/>
              </w:rPr>
              <w:t>12</w:t>
            </w:r>
          </w:p>
        </w:tc>
        <w:tc>
          <w:tcPr>
            <w:tcW w:w="3622" w:type="dxa"/>
          </w:tcPr>
          <w:p w:rsidR="00621581" w:rsidRPr="00143DE8" w:rsidRDefault="00264386" w:rsidP="00160D23">
            <w:pPr>
              <w:rPr>
                <w:rFonts w:cs="Arial"/>
                <w:color w:val="000000"/>
                <w:sz w:val="20"/>
                <w:szCs w:val="20"/>
              </w:rPr>
            </w:pPr>
            <w:r w:rsidRPr="00143DE8">
              <w:rPr>
                <w:rFonts w:cs="Arial"/>
                <w:color w:val="000000"/>
                <w:sz w:val="20"/>
                <w:szCs w:val="20"/>
              </w:rPr>
              <w:t>Make copies of previous years’ question papers available to all students electronically or as hard copy in the library?</w:t>
            </w:r>
          </w:p>
        </w:tc>
        <w:tc>
          <w:tcPr>
            <w:tcW w:w="1418" w:type="dxa"/>
          </w:tcPr>
          <w:p w:rsidR="00621581" w:rsidRPr="00143DE8" w:rsidRDefault="00621581" w:rsidP="00160D23">
            <w:pPr>
              <w:rPr>
                <w:rFonts w:cs="Arial"/>
                <w:sz w:val="20"/>
                <w:szCs w:val="20"/>
              </w:rPr>
            </w:pPr>
          </w:p>
        </w:tc>
        <w:tc>
          <w:tcPr>
            <w:tcW w:w="985" w:type="dxa"/>
          </w:tcPr>
          <w:p w:rsidR="00621581" w:rsidRPr="00143DE8" w:rsidRDefault="00621581" w:rsidP="00160D23">
            <w:pPr>
              <w:rPr>
                <w:rFonts w:cs="Arial"/>
                <w:sz w:val="20"/>
                <w:szCs w:val="20"/>
              </w:rPr>
            </w:pPr>
          </w:p>
        </w:tc>
        <w:tc>
          <w:tcPr>
            <w:tcW w:w="1425" w:type="dxa"/>
          </w:tcPr>
          <w:p w:rsidR="00621581" w:rsidRPr="00143DE8" w:rsidRDefault="00621581" w:rsidP="00160D23">
            <w:pPr>
              <w:rPr>
                <w:rFonts w:cs="Arial"/>
                <w:sz w:val="20"/>
                <w:szCs w:val="20"/>
              </w:rPr>
            </w:pPr>
          </w:p>
        </w:tc>
        <w:tc>
          <w:tcPr>
            <w:tcW w:w="5953" w:type="dxa"/>
          </w:tcPr>
          <w:p w:rsidR="00621581" w:rsidRPr="00143DE8" w:rsidRDefault="00264386" w:rsidP="00160D23">
            <w:pPr>
              <w:rPr>
                <w:rFonts w:cs="Arial"/>
                <w:sz w:val="20"/>
                <w:szCs w:val="20"/>
              </w:rPr>
            </w:pPr>
            <w:r w:rsidRPr="00143DE8">
              <w:rPr>
                <w:rFonts w:cs="Arial"/>
                <w:sz w:val="20"/>
                <w:szCs w:val="20"/>
              </w:rPr>
              <w:t>This is common in many but not all nations</w:t>
            </w:r>
            <w:r w:rsidR="00143DE8" w:rsidRPr="00143DE8">
              <w:rPr>
                <w:rFonts w:cs="Arial"/>
                <w:sz w:val="20"/>
                <w:szCs w:val="20"/>
              </w:rPr>
              <w:t>, since the question banks in some nations vary very little</w:t>
            </w:r>
          </w:p>
        </w:tc>
      </w:tr>
      <w:tr w:rsidR="00264386" w:rsidRPr="00143DE8" w:rsidTr="00C125B9">
        <w:tc>
          <w:tcPr>
            <w:tcW w:w="470" w:type="dxa"/>
          </w:tcPr>
          <w:p w:rsidR="00264386" w:rsidRPr="00143DE8" w:rsidRDefault="00264386" w:rsidP="00160D23">
            <w:pPr>
              <w:rPr>
                <w:rFonts w:cs="Arial"/>
                <w:sz w:val="20"/>
                <w:szCs w:val="20"/>
              </w:rPr>
            </w:pPr>
            <w:r w:rsidRPr="00143DE8">
              <w:rPr>
                <w:rFonts w:cs="Arial"/>
                <w:sz w:val="20"/>
                <w:szCs w:val="20"/>
              </w:rPr>
              <w:t>13</w:t>
            </w:r>
          </w:p>
        </w:tc>
        <w:tc>
          <w:tcPr>
            <w:tcW w:w="3622" w:type="dxa"/>
          </w:tcPr>
          <w:p w:rsidR="00264386" w:rsidRPr="00143DE8" w:rsidRDefault="00264386" w:rsidP="00160D23">
            <w:pPr>
              <w:rPr>
                <w:rFonts w:cs="Arial"/>
                <w:color w:val="000000"/>
                <w:sz w:val="20"/>
                <w:szCs w:val="20"/>
              </w:rPr>
            </w:pPr>
            <w:r w:rsidRPr="00143DE8">
              <w:rPr>
                <w:rFonts w:eastAsiaTheme="minorEastAsia" w:cs="Arial"/>
                <w:sz w:val="20"/>
                <w:szCs w:val="20"/>
                <w:lang w:eastAsia="en-GB"/>
              </w:rPr>
              <w:t>Use an assessment management system across the university for alignment of assignments to learning outcomes, submission and return of work, recording and presentation to exam boards of marks?</w:t>
            </w:r>
          </w:p>
        </w:tc>
        <w:tc>
          <w:tcPr>
            <w:tcW w:w="1418" w:type="dxa"/>
          </w:tcPr>
          <w:p w:rsidR="00264386" w:rsidRPr="00143DE8" w:rsidRDefault="00264386" w:rsidP="00160D23">
            <w:pPr>
              <w:rPr>
                <w:rFonts w:cs="Arial"/>
                <w:sz w:val="20"/>
                <w:szCs w:val="20"/>
              </w:rPr>
            </w:pPr>
          </w:p>
        </w:tc>
        <w:tc>
          <w:tcPr>
            <w:tcW w:w="985" w:type="dxa"/>
          </w:tcPr>
          <w:p w:rsidR="00264386" w:rsidRPr="00143DE8" w:rsidRDefault="00264386" w:rsidP="00160D23">
            <w:pPr>
              <w:rPr>
                <w:rFonts w:cs="Arial"/>
                <w:sz w:val="20"/>
                <w:szCs w:val="20"/>
              </w:rPr>
            </w:pPr>
          </w:p>
        </w:tc>
        <w:tc>
          <w:tcPr>
            <w:tcW w:w="1425" w:type="dxa"/>
          </w:tcPr>
          <w:p w:rsidR="00264386" w:rsidRPr="00143DE8" w:rsidRDefault="00264386" w:rsidP="00160D23">
            <w:pPr>
              <w:rPr>
                <w:rFonts w:cs="Arial"/>
                <w:sz w:val="20"/>
                <w:szCs w:val="20"/>
              </w:rPr>
            </w:pPr>
          </w:p>
        </w:tc>
        <w:tc>
          <w:tcPr>
            <w:tcW w:w="5953" w:type="dxa"/>
          </w:tcPr>
          <w:p w:rsidR="00264386" w:rsidRPr="00143DE8" w:rsidRDefault="00264386" w:rsidP="00160D23">
            <w:pPr>
              <w:rPr>
                <w:rFonts w:cs="Arial"/>
                <w:sz w:val="20"/>
                <w:szCs w:val="20"/>
              </w:rPr>
            </w:pPr>
            <w:r w:rsidRPr="00143DE8">
              <w:rPr>
                <w:rFonts w:cs="Arial"/>
                <w:sz w:val="20"/>
                <w:szCs w:val="20"/>
              </w:rPr>
              <w:t>This is increasingly common in the US and some western nations</w:t>
            </w:r>
          </w:p>
        </w:tc>
      </w:tr>
      <w:tr w:rsidR="00264386" w:rsidRPr="00143DE8" w:rsidTr="00C125B9">
        <w:tc>
          <w:tcPr>
            <w:tcW w:w="470" w:type="dxa"/>
          </w:tcPr>
          <w:p w:rsidR="00264386" w:rsidRPr="00143DE8" w:rsidRDefault="00264386" w:rsidP="00160D23">
            <w:pPr>
              <w:rPr>
                <w:rFonts w:cs="Arial"/>
                <w:sz w:val="20"/>
                <w:szCs w:val="20"/>
              </w:rPr>
            </w:pPr>
            <w:r w:rsidRPr="00143DE8">
              <w:rPr>
                <w:rFonts w:cs="Arial"/>
                <w:sz w:val="20"/>
                <w:szCs w:val="20"/>
              </w:rPr>
              <w:t>14</w:t>
            </w:r>
          </w:p>
        </w:tc>
        <w:tc>
          <w:tcPr>
            <w:tcW w:w="3622" w:type="dxa"/>
          </w:tcPr>
          <w:p w:rsidR="00264386" w:rsidRPr="00143DE8" w:rsidRDefault="00264386" w:rsidP="00264386">
            <w:pPr>
              <w:rPr>
                <w:rFonts w:cs="Arial"/>
                <w:color w:val="000000"/>
                <w:sz w:val="20"/>
                <w:szCs w:val="20"/>
              </w:rPr>
            </w:pPr>
            <w:r w:rsidRPr="00143DE8">
              <w:rPr>
                <w:rFonts w:cs="Arial"/>
                <w:color w:val="000000"/>
                <w:sz w:val="20"/>
                <w:szCs w:val="20"/>
              </w:rPr>
              <w:t>Train all those who will be assessing students in methods, approaches and assurance of standards for assessment?</w:t>
            </w:r>
          </w:p>
        </w:tc>
        <w:tc>
          <w:tcPr>
            <w:tcW w:w="1418" w:type="dxa"/>
          </w:tcPr>
          <w:p w:rsidR="00264386" w:rsidRPr="00143DE8" w:rsidRDefault="00264386" w:rsidP="00160D23">
            <w:pPr>
              <w:rPr>
                <w:rFonts w:cs="Arial"/>
                <w:sz w:val="20"/>
                <w:szCs w:val="20"/>
              </w:rPr>
            </w:pPr>
          </w:p>
        </w:tc>
        <w:tc>
          <w:tcPr>
            <w:tcW w:w="985" w:type="dxa"/>
          </w:tcPr>
          <w:p w:rsidR="00264386" w:rsidRPr="00143DE8" w:rsidRDefault="00264386" w:rsidP="00160D23">
            <w:pPr>
              <w:rPr>
                <w:rFonts w:cs="Arial"/>
                <w:sz w:val="20"/>
                <w:szCs w:val="20"/>
              </w:rPr>
            </w:pPr>
          </w:p>
        </w:tc>
        <w:tc>
          <w:tcPr>
            <w:tcW w:w="1425" w:type="dxa"/>
          </w:tcPr>
          <w:p w:rsidR="00264386" w:rsidRPr="00143DE8" w:rsidRDefault="00264386" w:rsidP="00160D23">
            <w:pPr>
              <w:rPr>
                <w:rFonts w:cs="Arial"/>
                <w:sz w:val="20"/>
                <w:szCs w:val="20"/>
              </w:rPr>
            </w:pPr>
          </w:p>
        </w:tc>
        <w:tc>
          <w:tcPr>
            <w:tcW w:w="5953" w:type="dxa"/>
          </w:tcPr>
          <w:p w:rsidR="00264386" w:rsidRPr="00143DE8" w:rsidRDefault="00264386" w:rsidP="00160D23">
            <w:pPr>
              <w:rPr>
                <w:rFonts w:cs="Arial"/>
                <w:sz w:val="20"/>
                <w:szCs w:val="20"/>
              </w:rPr>
            </w:pPr>
            <w:r w:rsidRPr="00143DE8">
              <w:rPr>
                <w:rFonts w:cs="Arial"/>
                <w:sz w:val="20"/>
                <w:szCs w:val="20"/>
              </w:rPr>
              <w:t>This is an expectation in some nations (e.g QAA Code B6 on assessment in the UK).</w:t>
            </w:r>
          </w:p>
        </w:tc>
      </w:tr>
      <w:tr w:rsidR="00830628" w:rsidRPr="00143DE8" w:rsidTr="00C125B9">
        <w:tc>
          <w:tcPr>
            <w:tcW w:w="470" w:type="dxa"/>
          </w:tcPr>
          <w:p w:rsidR="00830628" w:rsidRPr="00143DE8" w:rsidRDefault="00830628" w:rsidP="00160D23">
            <w:pPr>
              <w:rPr>
                <w:rFonts w:cs="Arial"/>
                <w:sz w:val="20"/>
                <w:szCs w:val="20"/>
              </w:rPr>
            </w:pPr>
            <w:r w:rsidRPr="00143DE8">
              <w:rPr>
                <w:rFonts w:cs="Arial"/>
                <w:sz w:val="20"/>
                <w:szCs w:val="20"/>
              </w:rPr>
              <w:t>15</w:t>
            </w:r>
          </w:p>
        </w:tc>
        <w:tc>
          <w:tcPr>
            <w:tcW w:w="3622" w:type="dxa"/>
          </w:tcPr>
          <w:p w:rsidR="00830628" w:rsidRPr="00143DE8" w:rsidRDefault="00830628" w:rsidP="00264386">
            <w:pPr>
              <w:rPr>
                <w:rFonts w:cs="Arial"/>
                <w:color w:val="000000"/>
                <w:sz w:val="20"/>
                <w:szCs w:val="20"/>
              </w:rPr>
            </w:pPr>
            <w:r w:rsidRPr="00143DE8">
              <w:rPr>
                <w:rFonts w:cs="Arial"/>
                <w:color w:val="000000"/>
                <w:sz w:val="20"/>
                <w:szCs w:val="20"/>
              </w:rPr>
              <w:t>Allow your students to bring firearms into the examination hall?</w:t>
            </w:r>
          </w:p>
        </w:tc>
        <w:tc>
          <w:tcPr>
            <w:tcW w:w="1418" w:type="dxa"/>
          </w:tcPr>
          <w:p w:rsidR="00830628" w:rsidRPr="00143DE8" w:rsidRDefault="00830628" w:rsidP="00160D23">
            <w:pPr>
              <w:rPr>
                <w:rFonts w:cs="Arial"/>
                <w:sz w:val="20"/>
                <w:szCs w:val="20"/>
              </w:rPr>
            </w:pPr>
          </w:p>
        </w:tc>
        <w:tc>
          <w:tcPr>
            <w:tcW w:w="985" w:type="dxa"/>
          </w:tcPr>
          <w:p w:rsidR="00830628" w:rsidRPr="00143DE8" w:rsidRDefault="00830628" w:rsidP="00160D23">
            <w:pPr>
              <w:rPr>
                <w:rFonts w:cs="Arial"/>
                <w:sz w:val="20"/>
                <w:szCs w:val="20"/>
              </w:rPr>
            </w:pPr>
          </w:p>
        </w:tc>
        <w:tc>
          <w:tcPr>
            <w:tcW w:w="1425" w:type="dxa"/>
          </w:tcPr>
          <w:p w:rsidR="00830628" w:rsidRPr="00143DE8" w:rsidRDefault="00830628" w:rsidP="00160D23">
            <w:pPr>
              <w:rPr>
                <w:rFonts w:cs="Arial"/>
                <w:sz w:val="20"/>
                <w:szCs w:val="20"/>
              </w:rPr>
            </w:pPr>
          </w:p>
        </w:tc>
        <w:tc>
          <w:tcPr>
            <w:tcW w:w="5953" w:type="dxa"/>
          </w:tcPr>
          <w:p w:rsidR="00830628" w:rsidRPr="00143DE8" w:rsidRDefault="00830628" w:rsidP="00160D23">
            <w:pPr>
              <w:rPr>
                <w:rFonts w:cs="Arial"/>
                <w:sz w:val="20"/>
                <w:szCs w:val="20"/>
              </w:rPr>
            </w:pPr>
            <w:r w:rsidRPr="00143DE8">
              <w:rPr>
                <w:rFonts w:cs="Arial"/>
                <w:sz w:val="20"/>
                <w:szCs w:val="20"/>
              </w:rPr>
              <w:t>Permitted in some states in the US</w:t>
            </w:r>
          </w:p>
        </w:tc>
      </w:tr>
      <w:tr w:rsidR="00830628" w:rsidRPr="00143DE8" w:rsidTr="00C125B9">
        <w:tc>
          <w:tcPr>
            <w:tcW w:w="470" w:type="dxa"/>
          </w:tcPr>
          <w:p w:rsidR="00830628" w:rsidRPr="00143DE8" w:rsidRDefault="00830628" w:rsidP="00160D23">
            <w:pPr>
              <w:rPr>
                <w:rFonts w:cs="Arial"/>
                <w:sz w:val="20"/>
                <w:szCs w:val="20"/>
              </w:rPr>
            </w:pPr>
            <w:r w:rsidRPr="00143DE8">
              <w:rPr>
                <w:rFonts w:cs="Arial"/>
                <w:sz w:val="20"/>
                <w:szCs w:val="20"/>
              </w:rPr>
              <w:t>16.</w:t>
            </w:r>
          </w:p>
        </w:tc>
        <w:tc>
          <w:tcPr>
            <w:tcW w:w="3622" w:type="dxa"/>
          </w:tcPr>
          <w:p w:rsidR="00830628" w:rsidRPr="00143DE8" w:rsidRDefault="00830628" w:rsidP="00264386">
            <w:pPr>
              <w:rPr>
                <w:rFonts w:cs="Arial"/>
                <w:color w:val="000000"/>
                <w:sz w:val="20"/>
                <w:szCs w:val="20"/>
              </w:rPr>
            </w:pPr>
            <w:r w:rsidRPr="00143DE8">
              <w:rPr>
                <w:rFonts w:cs="Arial"/>
                <w:color w:val="000000"/>
                <w:sz w:val="20"/>
                <w:szCs w:val="20"/>
              </w:rPr>
              <w:t>Ask your students to take examinations in the open air?</w:t>
            </w:r>
          </w:p>
        </w:tc>
        <w:tc>
          <w:tcPr>
            <w:tcW w:w="1418" w:type="dxa"/>
          </w:tcPr>
          <w:p w:rsidR="00830628" w:rsidRPr="00143DE8" w:rsidRDefault="00830628" w:rsidP="00160D23">
            <w:pPr>
              <w:rPr>
                <w:rFonts w:cs="Arial"/>
                <w:sz w:val="20"/>
                <w:szCs w:val="20"/>
              </w:rPr>
            </w:pPr>
          </w:p>
        </w:tc>
        <w:tc>
          <w:tcPr>
            <w:tcW w:w="985" w:type="dxa"/>
          </w:tcPr>
          <w:p w:rsidR="00830628" w:rsidRPr="00143DE8" w:rsidRDefault="00830628" w:rsidP="00160D23">
            <w:pPr>
              <w:rPr>
                <w:rFonts w:cs="Arial"/>
                <w:sz w:val="20"/>
                <w:szCs w:val="20"/>
              </w:rPr>
            </w:pPr>
          </w:p>
        </w:tc>
        <w:tc>
          <w:tcPr>
            <w:tcW w:w="1425" w:type="dxa"/>
          </w:tcPr>
          <w:p w:rsidR="00830628" w:rsidRPr="00143DE8" w:rsidRDefault="00830628" w:rsidP="00160D23">
            <w:pPr>
              <w:rPr>
                <w:rFonts w:cs="Arial"/>
                <w:sz w:val="20"/>
                <w:szCs w:val="20"/>
              </w:rPr>
            </w:pPr>
          </w:p>
        </w:tc>
        <w:tc>
          <w:tcPr>
            <w:tcW w:w="5953" w:type="dxa"/>
          </w:tcPr>
          <w:p w:rsidR="00830628" w:rsidRPr="00143DE8" w:rsidRDefault="00830628" w:rsidP="00830628">
            <w:pPr>
              <w:rPr>
                <w:rFonts w:cs="Arial"/>
                <w:sz w:val="20"/>
                <w:szCs w:val="20"/>
              </w:rPr>
            </w:pPr>
            <w:r w:rsidRPr="00143DE8">
              <w:rPr>
                <w:rFonts w:cs="Arial"/>
                <w:sz w:val="20"/>
                <w:szCs w:val="20"/>
              </w:rPr>
              <w:t>This is common in some states where clement weather can be relied upon</w:t>
            </w:r>
          </w:p>
        </w:tc>
      </w:tr>
      <w:tr w:rsidR="00830628" w:rsidRPr="00143DE8" w:rsidTr="00C125B9">
        <w:tc>
          <w:tcPr>
            <w:tcW w:w="470" w:type="dxa"/>
          </w:tcPr>
          <w:p w:rsidR="00830628" w:rsidRPr="00143DE8" w:rsidRDefault="00830628" w:rsidP="00160D23">
            <w:pPr>
              <w:rPr>
                <w:rFonts w:cs="Arial"/>
                <w:sz w:val="20"/>
                <w:szCs w:val="20"/>
              </w:rPr>
            </w:pPr>
            <w:r w:rsidRPr="00143DE8">
              <w:rPr>
                <w:rFonts w:cs="Arial"/>
                <w:sz w:val="20"/>
                <w:szCs w:val="20"/>
              </w:rPr>
              <w:t>17.</w:t>
            </w:r>
          </w:p>
        </w:tc>
        <w:tc>
          <w:tcPr>
            <w:tcW w:w="3622" w:type="dxa"/>
          </w:tcPr>
          <w:p w:rsidR="00830628" w:rsidRPr="00143DE8" w:rsidRDefault="00830628" w:rsidP="00830628">
            <w:pPr>
              <w:rPr>
                <w:rFonts w:cs="Arial"/>
                <w:color w:val="000000"/>
                <w:sz w:val="20"/>
                <w:szCs w:val="20"/>
              </w:rPr>
            </w:pPr>
            <w:r w:rsidRPr="00143DE8">
              <w:rPr>
                <w:rFonts w:cs="Arial"/>
                <w:color w:val="000000"/>
                <w:sz w:val="20"/>
                <w:szCs w:val="20"/>
              </w:rPr>
              <w:t>Set examinations with a duration of 9 hours?</w:t>
            </w:r>
          </w:p>
        </w:tc>
        <w:tc>
          <w:tcPr>
            <w:tcW w:w="1418" w:type="dxa"/>
          </w:tcPr>
          <w:p w:rsidR="00830628" w:rsidRPr="00143DE8" w:rsidRDefault="00830628" w:rsidP="00160D23">
            <w:pPr>
              <w:rPr>
                <w:rFonts w:cs="Arial"/>
                <w:sz w:val="20"/>
                <w:szCs w:val="20"/>
              </w:rPr>
            </w:pPr>
          </w:p>
        </w:tc>
        <w:tc>
          <w:tcPr>
            <w:tcW w:w="985" w:type="dxa"/>
          </w:tcPr>
          <w:p w:rsidR="00830628" w:rsidRPr="00143DE8" w:rsidRDefault="00830628" w:rsidP="00160D23">
            <w:pPr>
              <w:rPr>
                <w:rFonts w:cs="Arial"/>
                <w:sz w:val="20"/>
                <w:szCs w:val="20"/>
              </w:rPr>
            </w:pPr>
          </w:p>
        </w:tc>
        <w:tc>
          <w:tcPr>
            <w:tcW w:w="1425" w:type="dxa"/>
          </w:tcPr>
          <w:p w:rsidR="00830628" w:rsidRPr="00143DE8" w:rsidRDefault="00830628" w:rsidP="00160D23">
            <w:pPr>
              <w:rPr>
                <w:rFonts w:cs="Arial"/>
                <w:sz w:val="20"/>
                <w:szCs w:val="20"/>
              </w:rPr>
            </w:pPr>
          </w:p>
        </w:tc>
        <w:tc>
          <w:tcPr>
            <w:tcW w:w="5953" w:type="dxa"/>
          </w:tcPr>
          <w:p w:rsidR="00830628" w:rsidRPr="00143DE8" w:rsidRDefault="00830628" w:rsidP="00830628">
            <w:pPr>
              <w:rPr>
                <w:rFonts w:cs="Arial"/>
                <w:sz w:val="20"/>
                <w:szCs w:val="20"/>
              </w:rPr>
            </w:pPr>
            <w:r w:rsidRPr="00143DE8">
              <w:rPr>
                <w:rFonts w:cs="Arial"/>
                <w:sz w:val="20"/>
                <w:szCs w:val="20"/>
              </w:rPr>
              <w:t>This is not uncommon in Norway, but in some nations the norm is one hour, so students are sometimes surprised when first encountering longer exams</w:t>
            </w:r>
          </w:p>
        </w:tc>
      </w:tr>
      <w:tr w:rsidR="00830628" w:rsidRPr="00143DE8" w:rsidTr="00C125B9">
        <w:tc>
          <w:tcPr>
            <w:tcW w:w="470" w:type="dxa"/>
          </w:tcPr>
          <w:p w:rsidR="00830628" w:rsidRPr="00143DE8" w:rsidRDefault="00830628" w:rsidP="00160D23">
            <w:pPr>
              <w:rPr>
                <w:rFonts w:cs="Arial"/>
                <w:sz w:val="20"/>
                <w:szCs w:val="20"/>
              </w:rPr>
            </w:pPr>
            <w:r w:rsidRPr="00143DE8">
              <w:rPr>
                <w:rFonts w:cs="Arial"/>
                <w:sz w:val="20"/>
                <w:szCs w:val="20"/>
              </w:rPr>
              <w:t>18.</w:t>
            </w:r>
          </w:p>
        </w:tc>
        <w:tc>
          <w:tcPr>
            <w:tcW w:w="3622" w:type="dxa"/>
          </w:tcPr>
          <w:p w:rsidR="00830628" w:rsidRPr="00143DE8" w:rsidRDefault="00830628" w:rsidP="00264386">
            <w:pPr>
              <w:rPr>
                <w:rFonts w:cs="Arial"/>
                <w:color w:val="000000"/>
                <w:sz w:val="20"/>
                <w:szCs w:val="20"/>
              </w:rPr>
            </w:pPr>
            <w:r w:rsidRPr="00143DE8">
              <w:rPr>
                <w:rFonts w:cs="Arial"/>
                <w:color w:val="000000"/>
                <w:sz w:val="20"/>
                <w:szCs w:val="20"/>
              </w:rPr>
              <w:t>Allow the extended family to</w:t>
            </w:r>
            <w:r w:rsidR="00C125B9">
              <w:rPr>
                <w:rFonts w:cs="Arial"/>
                <w:color w:val="000000"/>
                <w:sz w:val="20"/>
                <w:szCs w:val="20"/>
              </w:rPr>
              <w:t xml:space="preserve"> </w:t>
            </w:r>
            <w:r w:rsidRPr="00143DE8">
              <w:rPr>
                <w:rFonts w:cs="Arial"/>
                <w:color w:val="000000"/>
                <w:sz w:val="20"/>
                <w:szCs w:val="20"/>
              </w:rPr>
              <w:t>come along to witness assessed activities?</w:t>
            </w:r>
          </w:p>
        </w:tc>
        <w:tc>
          <w:tcPr>
            <w:tcW w:w="1418" w:type="dxa"/>
          </w:tcPr>
          <w:p w:rsidR="00830628" w:rsidRPr="00143DE8" w:rsidRDefault="00830628" w:rsidP="00160D23">
            <w:pPr>
              <w:rPr>
                <w:rFonts w:cs="Arial"/>
                <w:sz w:val="20"/>
                <w:szCs w:val="20"/>
              </w:rPr>
            </w:pPr>
          </w:p>
        </w:tc>
        <w:tc>
          <w:tcPr>
            <w:tcW w:w="985" w:type="dxa"/>
          </w:tcPr>
          <w:p w:rsidR="00830628" w:rsidRPr="00143DE8" w:rsidRDefault="00830628" w:rsidP="00160D23">
            <w:pPr>
              <w:rPr>
                <w:rFonts w:cs="Arial"/>
                <w:sz w:val="20"/>
                <w:szCs w:val="20"/>
              </w:rPr>
            </w:pPr>
          </w:p>
        </w:tc>
        <w:tc>
          <w:tcPr>
            <w:tcW w:w="1425" w:type="dxa"/>
          </w:tcPr>
          <w:p w:rsidR="00830628" w:rsidRPr="00143DE8" w:rsidRDefault="00830628" w:rsidP="00160D23">
            <w:pPr>
              <w:rPr>
                <w:rFonts w:cs="Arial"/>
                <w:sz w:val="20"/>
                <w:szCs w:val="20"/>
              </w:rPr>
            </w:pPr>
          </w:p>
        </w:tc>
        <w:tc>
          <w:tcPr>
            <w:tcW w:w="5953" w:type="dxa"/>
          </w:tcPr>
          <w:p w:rsidR="00830628" w:rsidRPr="00143DE8" w:rsidRDefault="00830628" w:rsidP="00830628">
            <w:pPr>
              <w:rPr>
                <w:rFonts w:cs="Arial"/>
                <w:sz w:val="20"/>
                <w:szCs w:val="20"/>
              </w:rPr>
            </w:pPr>
            <w:r w:rsidRPr="00143DE8">
              <w:rPr>
                <w:rFonts w:cs="Arial"/>
                <w:sz w:val="20"/>
                <w:szCs w:val="20"/>
              </w:rPr>
              <w:t>This would not be uncommon in Maori settings in New Zealand, and PhD</w:t>
            </w:r>
            <w:r w:rsidR="00C125B9">
              <w:rPr>
                <w:rFonts w:cs="Arial"/>
                <w:sz w:val="20"/>
                <w:szCs w:val="20"/>
              </w:rPr>
              <w:t xml:space="preserve"> </w:t>
            </w:r>
            <w:r w:rsidRPr="00143DE8">
              <w:rPr>
                <w:rFonts w:cs="Arial"/>
                <w:sz w:val="20"/>
                <w:szCs w:val="20"/>
              </w:rPr>
              <w:t>defences in the Netherlands are public events</w:t>
            </w:r>
          </w:p>
        </w:tc>
      </w:tr>
      <w:tr w:rsidR="00830628" w:rsidRPr="00143DE8" w:rsidTr="00C125B9">
        <w:tc>
          <w:tcPr>
            <w:tcW w:w="470" w:type="dxa"/>
          </w:tcPr>
          <w:p w:rsidR="00830628" w:rsidRPr="00143DE8" w:rsidRDefault="00830628" w:rsidP="00160D23">
            <w:pPr>
              <w:rPr>
                <w:rFonts w:cs="Arial"/>
                <w:sz w:val="20"/>
                <w:szCs w:val="20"/>
              </w:rPr>
            </w:pPr>
            <w:r w:rsidRPr="00143DE8">
              <w:rPr>
                <w:rFonts w:cs="Arial"/>
                <w:sz w:val="20"/>
                <w:szCs w:val="20"/>
              </w:rPr>
              <w:t>19.</w:t>
            </w:r>
          </w:p>
        </w:tc>
        <w:tc>
          <w:tcPr>
            <w:tcW w:w="3622" w:type="dxa"/>
          </w:tcPr>
          <w:p w:rsidR="00830628" w:rsidRPr="00143DE8" w:rsidRDefault="00830628" w:rsidP="00264386">
            <w:pPr>
              <w:rPr>
                <w:rFonts w:cs="Arial"/>
                <w:color w:val="000000"/>
                <w:sz w:val="20"/>
                <w:szCs w:val="20"/>
              </w:rPr>
            </w:pPr>
            <w:r w:rsidRPr="00143DE8">
              <w:rPr>
                <w:rFonts w:cs="Arial"/>
                <w:color w:val="000000"/>
                <w:sz w:val="20"/>
                <w:szCs w:val="20"/>
              </w:rPr>
              <w:t>Forbid your students from sitting exams in Wellington boots or with excessively long hair/ clothes of the opposite gender?</w:t>
            </w:r>
          </w:p>
        </w:tc>
        <w:tc>
          <w:tcPr>
            <w:tcW w:w="1418" w:type="dxa"/>
          </w:tcPr>
          <w:p w:rsidR="00830628" w:rsidRPr="00143DE8" w:rsidRDefault="00830628" w:rsidP="00160D23">
            <w:pPr>
              <w:rPr>
                <w:rFonts w:cs="Arial"/>
                <w:sz w:val="20"/>
                <w:szCs w:val="20"/>
              </w:rPr>
            </w:pPr>
          </w:p>
        </w:tc>
        <w:tc>
          <w:tcPr>
            <w:tcW w:w="985" w:type="dxa"/>
          </w:tcPr>
          <w:p w:rsidR="00830628" w:rsidRPr="00143DE8" w:rsidRDefault="00830628" w:rsidP="00160D23">
            <w:pPr>
              <w:rPr>
                <w:rFonts w:cs="Arial"/>
                <w:sz w:val="20"/>
                <w:szCs w:val="20"/>
              </w:rPr>
            </w:pPr>
          </w:p>
        </w:tc>
        <w:tc>
          <w:tcPr>
            <w:tcW w:w="1425" w:type="dxa"/>
          </w:tcPr>
          <w:p w:rsidR="00830628" w:rsidRPr="00143DE8" w:rsidRDefault="00830628" w:rsidP="00160D23">
            <w:pPr>
              <w:rPr>
                <w:rFonts w:cs="Arial"/>
                <w:sz w:val="20"/>
                <w:szCs w:val="20"/>
              </w:rPr>
            </w:pPr>
          </w:p>
        </w:tc>
        <w:tc>
          <w:tcPr>
            <w:tcW w:w="5953" w:type="dxa"/>
          </w:tcPr>
          <w:p w:rsidR="00830628" w:rsidRPr="00143DE8" w:rsidRDefault="00830628" w:rsidP="00830628">
            <w:pPr>
              <w:rPr>
                <w:rFonts w:cs="Arial"/>
                <w:sz w:val="20"/>
                <w:szCs w:val="20"/>
              </w:rPr>
            </w:pPr>
            <w:r w:rsidRPr="00143DE8">
              <w:rPr>
                <w:rFonts w:cs="Arial"/>
                <w:sz w:val="20"/>
                <w:szCs w:val="20"/>
              </w:rPr>
              <w:t>The former was forbidden at an Agricultural college in new Zealand and the latter historically in Singapore</w:t>
            </w:r>
          </w:p>
        </w:tc>
      </w:tr>
      <w:tr w:rsidR="00830628" w:rsidRPr="00143DE8" w:rsidTr="00C125B9">
        <w:tc>
          <w:tcPr>
            <w:tcW w:w="470" w:type="dxa"/>
          </w:tcPr>
          <w:p w:rsidR="00830628" w:rsidRPr="00143DE8" w:rsidRDefault="00830628" w:rsidP="00160D23">
            <w:pPr>
              <w:rPr>
                <w:rFonts w:cs="Arial"/>
                <w:sz w:val="20"/>
                <w:szCs w:val="20"/>
              </w:rPr>
            </w:pPr>
            <w:r w:rsidRPr="00143DE8">
              <w:rPr>
                <w:rFonts w:cs="Arial"/>
                <w:sz w:val="20"/>
                <w:szCs w:val="20"/>
              </w:rPr>
              <w:t>20.</w:t>
            </w:r>
          </w:p>
        </w:tc>
        <w:tc>
          <w:tcPr>
            <w:tcW w:w="3622" w:type="dxa"/>
          </w:tcPr>
          <w:p w:rsidR="00830628" w:rsidRPr="00143DE8" w:rsidRDefault="00830628" w:rsidP="00264386">
            <w:pPr>
              <w:rPr>
                <w:rFonts w:cs="Arial"/>
                <w:color w:val="000000"/>
                <w:sz w:val="20"/>
                <w:szCs w:val="20"/>
              </w:rPr>
            </w:pPr>
            <w:r w:rsidRPr="00143DE8">
              <w:rPr>
                <w:rFonts w:cs="Arial"/>
                <w:color w:val="000000"/>
                <w:sz w:val="20"/>
                <w:szCs w:val="20"/>
              </w:rPr>
              <w:t>Include making eye contact as a criteria in face-to-face presentations?</w:t>
            </w:r>
          </w:p>
        </w:tc>
        <w:tc>
          <w:tcPr>
            <w:tcW w:w="1418" w:type="dxa"/>
          </w:tcPr>
          <w:p w:rsidR="00830628" w:rsidRPr="00143DE8" w:rsidRDefault="00830628" w:rsidP="00160D23">
            <w:pPr>
              <w:rPr>
                <w:rFonts w:cs="Arial"/>
                <w:sz w:val="20"/>
                <w:szCs w:val="20"/>
              </w:rPr>
            </w:pPr>
          </w:p>
        </w:tc>
        <w:tc>
          <w:tcPr>
            <w:tcW w:w="985" w:type="dxa"/>
          </w:tcPr>
          <w:p w:rsidR="00830628" w:rsidRPr="00143DE8" w:rsidRDefault="00830628" w:rsidP="00160D23">
            <w:pPr>
              <w:rPr>
                <w:rFonts w:cs="Arial"/>
                <w:sz w:val="20"/>
                <w:szCs w:val="20"/>
              </w:rPr>
            </w:pPr>
          </w:p>
        </w:tc>
        <w:tc>
          <w:tcPr>
            <w:tcW w:w="1425" w:type="dxa"/>
          </w:tcPr>
          <w:p w:rsidR="00830628" w:rsidRPr="00143DE8" w:rsidRDefault="00830628" w:rsidP="00160D23">
            <w:pPr>
              <w:rPr>
                <w:rFonts w:cs="Arial"/>
                <w:sz w:val="20"/>
                <w:szCs w:val="20"/>
              </w:rPr>
            </w:pPr>
          </w:p>
        </w:tc>
        <w:tc>
          <w:tcPr>
            <w:tcW w:w="5953" w:type="dxa"/>
          </w:tcPr>
          <w:p w:rsidR="00830628" w:rsidRPr="00143DE8" w:rsidRDefault="00143DE8" w:rsidP="00160D23">
            <w:pPr>
              <w:rPr>
                <w:rFonts w:cs="Arial"/>
                <w:sz w:val="20"/>
                <w:szCs w:val="20"/>
              </w:rPr>
            </w:pPr>
            <w:r>
              <w:rPr>
                <w:rFonts w:cs="Arial"/>
                <w:sz w:val="20"/>
                <w:szCs w:val="20"/>
              </w:rPr>
              <w:t>In many contexts, looking strangers in the eye is considered rude, aggressive or unacceptable</w:t>
            </w:r>
            <w:r w:rsidR="00C125B9">
              <w:rPr>
                <w:rFonts w:cs="Arial"/>
                <w:sz w:val="20"/>
                <w:szCs w:val="20"/>
              </w:rPr>
              <w:t>.</w:t>
            </w:r>
          </w:p>
        </w:tc>
      </w:tr>
    </w:tbl>
    <w:p w:rsidR="00C125B9" w:rsidRDefault="00C125B9" w:rsidP="00264386">
      <w:pPr>
        <w:rPr>
          <w:rFonts w:eastAsiaTheme="minorEastAsia" w:cs="Arial"/>
          <w:b/>
          <w:bCs/>
          <w:sz w:val="28"/>
          <w:lang w:eastAsia="en-GB"/>
        </w:rPr>
      </w:pPr>
    </w:p>
    <w:p w:rsidR="00264386" w:rsidRPr="00C125B9" w:rsidRDefault="00264386" w:rsidP="00264386">
      <w:pPr>
        <w:rPr>
          <w:rFonts w:cs="Arial"/>
          <w:sz w:val="20"/>
          <w:szCs w:val="20"/>
        </w:rPr>
      </w:pPr>
      <w:r w:rsidRPr="00C125B9">
        <w:rPr>
          <w:rFonts w:eastAsiaTheme="minorEastAsia" w:cs="Arial"/>
          <w:b/>
          <w:bCs/>
          <w:sz w:val="28"/>
          <w:lang w:eastAsia="en-GB"/>
        </w:rPr>
        <w:lastRenderedPageBreak/>
        <w:t xml:space="preserve">Shared languages for learning </w:t>
      </w:r>
    </w:p>
    <w:p w:rsidR="00264386" w:rsidRPr="00143DE8" w:rsidRDefault="00264386" w:rsidP="00264386">
      <w:pPr>
        <w:rPr>
          <w:rFonts w:eastAsiaTheme="minorEastAsia" w:cs="Arial"/>
          <w:bCs/>
          <w:lang w:eastAsia="en-GB"/>
        </w:rPr>
      </w:pPr>
      <w:r w:rsidRPr="00143DE8">
        <w:rPr>
          <w:rFonts w:eastAsiaTheme="minorEastAsia" w:cs="Arial"/>
          <w:bCs/>
          <w:lang w:eastAsia="en-GB"/>
        </w:rPr>
        <w:t xml:space="preserve">Even when people from nations who share a language (English or Spanish for example) discuss pedagogy, it is not always the case that the words they use mean the same things to them both. </w:t>
      </w:r>
    </w:p>
    <w:p w:rsidR="00264386" w:rsidRPr="00143DE8" w:rsidRDefault="00264386" w:rsidP="00264386">
      <w:pPr>
        <w:rPr>
          <w:rFonts w:eastAsiaTheme="minorEastAsia" w:cs="Arial"/>
          <w:lang w:eastAsia="en-GB"/>
        </w:rPr>
      </w:pPr>
      <w:r w:rsidRPr="00143DE8">
        <w:rPr>
          <w:rFonts w:eastAsiaTheme="minorEastAsia" w:cs="Arial"/>
          <w:b/>
          <w:bCs/>
          <w:lang w:eastAsia="en-GB"/>
        </w:rPr>
        <w:t>Assessment and evaluation</w:t>
      </w:r>
      <w:r w:rsidRPr="00143DE8">
        <w:rPr>
          <w:rFonts w:eastAsiaTheme="minorEastAsia" w:cs="Arial"/>
          <w:bCs/>
          <w:lang w:eastAsia="en-GB"/>
        </w:rPr>
        <w:t xml:space="preserve">: in the UK, assessment means the marking and grading of student work and evaluation means the commentaries and the ratings and feedback about teaching given by students, for example, through course evaluations of the National Student Survey. In the US it is usually the other way round. This can cause confusion, for example, when I invited an expert on classroom assessment from the US to speak at a UK Assessment conference! In Australia and New Zealand the way they use the terms tends to depend to some extent on which side of the Atlantic they use as their principal resource-base in my experience. </w:t>
      </w:r>
    </w:p>
    <w:p w:rsidR="00264386" w:rsidRPr="00143DE8" w:rsidRDefault="00264386" w:rsidP="00264386">
      <w:pPr>
        <w:rPr>
          <w:rFonts w:eastAsiaTheme="minorEastAsia" w:cs="Arial"/>
          <w:lang w:eastAsia="en-GB"/>
        </w:rPr>
      </w:pPr>
      <w:r w:rsidRPr="00143DE8">
        <w:rPr>
          <w:rFonts w:eastAsiaTheme="minorEastAsia" w:cs="Arial"/>
          <w:b/>
          <w:bCs/>
          <w:lang w:eastAsia="en-GB"/>
        </w:rPr>
        <w:t>Compensation</w:t>
      </w:r>
      <w:r w:rsidRPr="00143DE8">
        <w:rPr>
          <w:rFonts w:eastAsiaTheme="minorEastAsia" w:cs="Arial"/>
          <w:bCs/>
          <w:lang w:eastAsia="en-GB"/>
        </w:rPr>
        <w:t xml:space="preserve"> in the UK implies the regulatory framework through which students who for reasons of illness or due to other causes miss or fail assignments and can remediate the problem by undertaking re-sit examinations, alternative tasks, or in rarer occasions when their overall work can be deemed to have demonstrate that they have achieved a standard of work overall that merits the award, being given an aegrotat (from the Latin s/he is ill) meaning an award may be given without further work if the student is deemed likely to have otherwise passed exams if not incapacitated. In at least one nation to my knowledge, compensation alternately means the legitimate process by which students pay extra to progress from one level to another without passing the assessments, in recognition of the extra work teachers will need to do to bring them up to the required standard.</w:t>
      </w:r>
    </w:p>
    <w:p w:rsidR="00621581" w:rsidRPr="00143DE8" w:rsidRDefault="00264386" w:rsidP="00264386">
      <w:pPr>
        <w:rPr>
          <w:rFonts w:eastAsiaTheme="minorEastAsia" w:cs="Arial"/>
          <w:bCs/>
          <w:lang w:eastAsia="en-GB"/>
        </w:rPr>
      </w:pPr>
      <w:r w:rsidRPr="00143DE8">
        <w:rPr>
          <w:rFonts w:eastAsiaTheme="minorEastAsia" w:cs="Arial"/>
          <w:b/>
          <w:bCs/>
          <w:lang w:eastAsia="en-GB"/>
        </w:rPr>
        <w:t>Faculty/staff/administration</w:t>
      </w:r>
      <w:r w:rsidRPr="00143DE8">
        <w:rPr>
          <w:rFonts w:eastAsiaTheme="minorEastAsia" w:cs="Arial"/>
          <w:bCs/>
          <w:lang w:eastAsia="en-GB"/>
        </w:rPr>
        <w:t>: ‘Faculty’ in the UK is an organisational term to describe groups of subjects or departments, for example, The Faculty of Arts and Humanities, but in the US the term means academic teachers. The term ‘instructor’ is widely used in the US for staff who teach undergraduate students, but would not be used for academics in the UK, but could perhaps be used to describe technicians who provide technical instruction. A Professor in the UK is a</w:t>
      </w:r>
      <w:r w:rsidRPr="00143DE8">
        <w:rPr>
          <w:rFonts w:eastAsiaTheme="minorEastAsia" w:cs="Arial"/>
          <w:lang w:eastAsia="en-GB"/>
        </w:rPr>
        <w:t xml:space="preserve"> status only reached after extensive application processes,</w:t>
      </w:r>
      <w:r w:rsidRPr="00143DE8">
        <w:rPr>
          <w:rFonts w:eastAsiaTheme="minorEastAsia" w:cs="Arial"/>
          <w:bCs/>
          <w:lang w:eastAsia="en-GB"/>
        </w:rPr>
        <w:t xml:space="preserve"> but the title ‘Professor’ is given to all senior academics in some nations. University </w:t>
      </w:r>
      <w:r w:rsidRPr="00143DE8">
        <w:rPr>
          <w:rFonts w:eastAsiaTheme="minorEastAsia" w:cs="Arial"/>
          <w:bCs/>
          <w:i/>
          <w:lang w:eastAsia="en-GB"/>
        </w:rPr>
        <w:t>staff</w:t>
      </w:r>
      <w:r w:rsidRPr="00143DE8">
        <w:rPr>
          <w:rFonts w:eastAsiaTheme="minorEastAsia" w:cs="Arial"/>
          <w:bCs/>
          <w:lang w:eastAsia="en-GB"/>
        </w:rPr>
        <w:t xml:space="preserve"> in the UK tends to mean everyone employed by the university, but in the US it applies to what in the UK we would term administrators who support the roles of teachers through professional and clerical services (while those termed Administrators in the US would normally be called Senior Managers in the UK!).</w:t>
      </w:r>
    </w:p>
    <w:p w:rsidR="00264386" w:rsidRDefault="00264386" w:rsidP="00264386">
      <w:pPr>
        <w:rPr>
          <w:rFonts w:eastAsiaTheme="minorEastAsia" w:cs="Arial"/>
          <w:bCs/>
          <w:lang w:eastAsia="en-GB"/>
        </w:rPr>
      </w:pPr>
      <w:r w:rsidRPr="00143DE8">
        <w:rPr>
          <w:rFonts w:eastAsiaTheme="minorEastAsia" w:cs="Arial"/>
          <w:b/>
          <w:bCs/>
          <w:lang w:eastAsia="en-GB"/>
        </w:rPr>
        <w:t>Rubric</w:t>
      </w:r>
      <w:r w:rsidRPr="00143DE8">
        <w:rPr>
          <w:rFonts w:eastAsiaTheme="minorEastAsia" w:cs="Arial"/>
          <w:bCs/>
          <w:lang w:eastAsia="en-GB"/>
        </w:rPr>
        <w:t>: In various nations this can mean the text in italic at the beginning of an exam paper which indicates what the student should</w:t>
      </w:r>
      <w:r w:rsidR="00C125B9">
        <w:rPr>
          <w:rFonts w:eastAsiaTheme="minorEastAsia" w:cs="Arial"/>
          <w:bCs/>
          <w:lang w:eastAsia="en-GB"/>
        </w:rPr>
        <w:t xml:space="preserve"> </w:t>
      </w:r>
      <w:r w:rsidRPr="00143DE8">
        <w:rPr>
          <w:rFonts w:eastAsiaTheme="minorEastAsia" w:cs="Arial"/>
          <w:bCs/>
          <w:lang w:eastAsia="en-GB"/>
        </w:rPr>
        <w:t xml:space="preserve"> do (e.g. </w:t>
      </w:r>
      <w:r w:rsidR="00830628" w:rsidRPr="00143DE8">
        <w:rPr>
          <w:rFonts w:eastAsiaTheme="minorEastAsia" w:cs="Arial"/>
          <w:bCs/>
          <w:lang w:eastAsia="en-GB"/>
        </w:rPr>
        <w:t>answer</w:t>
      </w:r>
      <w:r w:rsidRPr="00143DE8">
        <w:rPr>
          <w:rFonts w:eastAsiaTheme="minorEastAsia" w:cs="Arial"/>
          <w:bCs/>
          <w:lang w:eastAsia="en-GB"/>
        </w:rPr>
        <w:t xml:space="preserve"> four questions from six)</w:t>
      </w:r>
      <w:r w:rsidR="00830628" w:rsidRPr="00143DE8">
        <w:rPr>
          <w:rFonts w:eastAsiaTheme="minorEastAsia" w:cs="Arial"/>
          <w:bCs/>
          <w:lang w:eastAsia="en-GB"/>
        </w:rPr>
        <w:t xml:space="preserve"> or</w:t>
      </w:r>
      <w:r w:rsidR="00C125B9">
        <w:rPr>
          <w:rFonts w:eastAsiaTheme="minorEastAsia" w:cs="Arial"/>
          <w:bCs/>
          <w:lang w:eastAsia="en-GB"/>
        </w:rPr>
        <w:t xml:space="preserve"> </w:t>
      </w:r>
      <w:r w:rsidR="00830628" w:rsidRPr="00143DE8">
        <w:rPr>
          <w:rFonts w:eastAsiaTheme="minorEastAsia" w:cs="Arial"/>
          <w:bCs/>
          <w:lang w:eastAsia="en-GB"/>
        </w:rPr>
        <w:t>text including banks of statements which can be used to give feedback to students electronically in formats which are also confusingly sometimes called Rubrics.</w:t>
      </w:r>
    </w:p>
    <w:p w:rsidR="004C5BC1" w:rsidRDefault="004C5BC1" w:rsidP="00264386">
      <w:pPr>
        <w:rPr>
          <w:rFonts w:eastAsiaTheme="minorEastAsia" w:cs="Arial"/>
          <w:bCs/>
          <w:lang w:eastAsia="en-GB"/>
        </w:rPr>
      </w:pPr>
    </w:p>
    <w:p w:rsidR="008664BB" w:rsidRPr="004C5BC1" w:rsidRDefault="004C5BC1" w:rsidP="004C5BC1">
      <w:pPr>
        <w:rPr>
          <w:rFonts w:cs="Arial"/>
          <w:b/>
        </w:rPr>
      </w:pPr>
      <w:r w:rsidRPr="004C5BC1">
        <w:rPr>
          <w:rFonts w:cs="Arial"/>
          <w:b/>
          <w:bCs/>
        </w:rPr>
        <w:lastRenderedPageBreak/>
        <w:t xml:space="preserve">References and further reading </w:t>
      </w:r>
    </w:p>
    <w:p w:rsidR="004C5BC1" w:rsidRPr="004C5BC1" w:rsidRDefault="004C5BC1" w:rsidP="004C5BC1">
      <w:pPr>
        <w:rPr>
          <w:rFonts w:cs="Arial"/>
        </w:rPr>
      </w:pPr>
      <w:r w:rsidRPr="004C5BC1">
        <w:rPr>
          <w:rFonts w:cs="Arial"/>
          <w:bCs/>
          <w:lang w:val="en-US"/>
        </w:rPr>
        <w:t xml:space="preserve">Beetham, H. (2010) </w:t>
      </w:r>
      <w:r w:rsidRPr="004C5BC1">
        <w:rPr>
          <w:rFonts w:cs="Arial"/>
          <w:bCs/>
          <w:i/>
          <w:iCs/>
          <w:lang w:val="en-US"/>
        </w:rPr>
        <w:t>Active learning in Technology-Rich Contexts</w:t>
      </w:r>
      <w:r w:rsidRPr="004C5BC1">
        <w:rPr>
          <w:rFonts w:cs="Arial"/>
          <w:bCs/>
          <w:lang w:val="en-US"/>
        </w:rPr>
        <w:t xml:space="preserve">, in Beetham, H. and Sharpe, R. </w:t>
      </w:r>
      <w:r w:rsidRPr="004C5BC1">
        <w:rPr>
          <w:rFonts w:cs="Arial"/>
          <w:bCs/>
          <w:i/>
          <w:iCs/>
          <w:lang w:val="en-US"/>
        </w:rPr>
        <w:t>Rethinking Pedagogy for a Digital age: designing for 21</w:t>
      </w:r>
      <w:r w:rsidRPr="004C5BC1">
        <w:rPr>
          <w:rFonts w:cs="Arial"/>
          <w:bCs/>
          <w:i/>
          <w:iCs/>
          <w:vertAlign w:val="superscript"/>
          <w:lang w:val="en-US"/>
        </w:rPr>
        <w:t>st</w:t>
      </w:r>
      <w:r w:rsidRPr="004C5BC1">
        <w:rPr>
          <w:rFonts w:cs="Arial"/>
          <w:bCs/>
          <w:i/>
          <w:iCs/>
          <w:lang w:val="en-US"/>
        </w:rPr>
        <w:t xml:space="preserve"> Century learning, </w:t>
      </w:r>
      <w:r w:rsidRPr="004C5BC1">
        <w:rPr>
          <w:rFonts w:cs="Arial"/>
          <w:bCs/>
          <w:lang w:val="en-US"/>
        </w:rPr>
        <w:t>Abingdon: Routledge.</w:t>
      </w:r>
    </w:p>
    <w:p w:rsidR="004C5BC1" w:rsidRPr="004C5BC1" w:rsidRDefault="004C5BC1" w:rsidP="004C5BC1">
      <w:pPr>
        <w:rPr>
          <w:rFonts w:cs="Arial"/>
        </w:rPr>
      </w:pPr>
      <w:r w:rsidRPr="004C5BC1">
        <w:rPr>
          <w:rFonts w:cs="Arial"/>
          <w:bCs/>
          <w:lang w:val="en-US"/>
        </w:rPr>
        <w:t>Brown, S. (201</w:t>
      </w:r>
      <w:r>
        <w:rPr>
          <w:rFonts w:cs="Arial"/>
          <w:bCs/>
          <w:lang w:val="en-US"/>
        </w:rPr>
        <w:t>5</w:t>
      </w:r>
      <w:r w:rsidRPr="004C5BC1">
        <w:rPr>
          <w:rFonts w:cs="Arial"/>
          <w:bCs/>
          <w:lang w:val="en-US"/>
        </w:rPr>
        <w:t xml:space="preserve">) </w:t>
      </w:r>
      <w:r w:rsidRPr="00C125B9">
        <w:rPr>
          <w:rFonts w:cs="Arial"/>
          <w:bCs/>
          <w:i/>
          <w:lang w:val="en-US"/>
        </w:rPr>
        <w:t>Learning, Teaching and Assessment in Higher Education: Global perspectives</w:t>
      </w:r>
      <w:r w:rsidRPr="004C5BC1">
        <w:rPr>
          <w:rFonts w:cs="Arial"/>
          <w:bCs/>
          <w:lang w:val="en-US"/>
        </w:rPr>
        <w:t>, Basingstoke Palgrave Macmillan</w:t>
      </w:r>
      <w:r w:rsidRPr="004C5BC1">
        <w:rPr>
          <w:rFonts w:cs="Arial"/>
          <w:bCs/>
        </w:rPr>
        <w:t xml:space="preserve"> </w:t>
      </w:r>
    </w:p>
    <w:p w:rsidR="004C5BC1" w:rsidRPr="004C5BC1" w:rsidRDefault="004C5BC1" w:rsidP="004C5BC1">
      <w:pPr>
        <w:rPr>
          <w:rFonts w:cs="Arial"/>
        </w:rPr>
      </w:pPr>
      <w:r w:rsidRPr="004C5BC1">
        <w:rPr>
          <w:rFonts w:cs="Arial"/>
          <w:bCs/>
          <w:lang w:val="en-US"/>
        </w:rPr>
        <w:t xml:space="preserve">Carless, D., Joughin, G., Ngar-Fun, Liu. et al (2006) </w:t>
      </w:r>
      <w:r w:rsidRPr="004C5BC1">
        <w:rPr>
          <w:rFonts w:cs="Arial"/>
          <w:bCs/>
          <w:i/>
          <w:iCs/>
          <w:lang w:val="en-US"/>
        </w:rPr>
        <w:t>How Assessment supports learning: Learning orientated assessment in action,</w:t>
      </w:r>
      <w:r w:rsidRPr="004C5BC1">
        <w:rPr>
          <w:rFonts w:cs="Arial"/>
          <w:bCs/>
          <w:lang w:val="en-US"/>
        </w:rPr>
        <w:t xml:space="preserve"> Hong Kong University Press.</w:t>
      </w:r>
      <w:r w:rsidRPr="004C5BC1">
        <w:rPr>
          <w:rFonts w:cs="Arial"/>
          <w:bCs/>
        </w:rPr>
        <w:t xml:space="preserve"> </w:t>
      </w:r>
    </w:p>
    <w:p w:rsidR="004C5BC1" w:rsidRPr="004C5BC1" w:rsidRDefault="004C5BC1" w:rsidP="004C5BC1">
      <w:pPr>
        <w:rPr>
          <w:rFonts w:cs="Arial"/>
        </w:rPr>
      </w:pPr>
      <w:r w:rsidRPr="004C5BC1">
        <w:rPr>
          <w:rFonts w:cs="Arial"/>
          <w:bCs/>
        </w:rPr>
        <w:t xml:space="preserve">Carroll, J. and Ryan, J. (2005) </w:t>
      </w:r>
      <w:r w:rsidRPr="004C5BC1">
        <w:rPr>
          <w:rFonts w:cs="Arial"/>
          <w:bCs/>
          <w:i/>
          <w:iCs/>
        </w:rPr>
        <w:t>Teaching International students: improving learning for all,</w:t>
      </w:r>
      <w:r w:rsidRPr="004C5BC1">
        <w:rPr>
          <w:rFonts w:cs="Arial"/>
          <w:bCs/>
        </w:rPr>
        <w:t xml:space="preserve"> London: Routledge SEDA series.</w:t>
      </w:r>
    </w:p>
    <w:p w:rsidR="004C5BC1" w:rsidRPr="004C5BC1" w:rsidRDefault="004C5BC1" w:rsidP="004C5BC1">
      <w:pPr>
        <w:rPr>
          <w:rFonts w:cs="Arial"/>
        </w:rPr>
      </w:pPr>
      <w:r w:rsidRPr="004C5BC1">
        <w:rPr>
          <w:rFonts w:cs="Arial"/>
          <w:bCs/>
        </w:rPr>
        <w:t xml:space="preserve"> Flint, N. R. and Johnson, B. (2011) </w:t>
      </w:r>
      <w:r w:rsidRPr="004C5BC1">
        <w:rPr>
          <w:rFonts w:cs="Arial"/>
          <w:bCs/>
          <w:i/>
          <w:iCs/>
        </w:rPr>
        <w:t xml:space="preserve">Towards fairer university assessment: addressing the concerns of students, </w:t>
      </w:r>
      <w:r w:rsidRPr="004C5BC1">
        <w:rPr>
          <w:rFonts w:cs="Arial"/>
          <w:bCs/>
        </w:rPr>
        <w:t>London: Routledge.</w:t>
      </w:r>
    </w:p>
    <w:p w:rsidR="004C5BC1" w:rsidRPr="004C5BC1" w:rsidRDefault="004C5BC1" w:rsidP="004C5BC1">
      <w:pPr>
        <w:rPr>
          <w:rFonts w:cs="Arial"/>
        </w:rPr>
      </w:pPr>
      <w:r w:rsidRPr="004C5BC1">
        <w:rPr>
          <w:rFonts w:cs="Arial"/>
          <w:bCs/>
        </w:rPr>
        <w:t xml:space="preserve">Grace, S. and Gravestock, P. (2009) </w:t>
      </w:r>
      <w:r w:rsidRPr="004C5BC1">
        <w:rPr>
          <w:rFonts w:cs="Arial"/>
          <w:bCs/>
          <w:i/>
          <w:iCs/>
        </w:rPr>
        <w:t>Inclusion and Diversity: meeting the needs of all students</w:t>
      </w:r>
      <w:r w:rsidRPr="004C5BC1">
        <w:rPr>
          <w:rFonts w:cs="Arial"/>
          <w:bCs/>
        </w:rPr>
        <w:t xml:space="preserve">. </w:t>
      </w:r>
      <w:r w:rsidRPr="004C5BC1">
        <w:rPr>
          <w:rFonts w:cs="Arial"/>
          <w:bCs/>
          <w:i/>
          <w:iCs/>
        </w:rPr>
        <w:t xml:space="preserve">Key guides for effective teaching in Higher Education, </w:t>
      </w:r>
      <w:r w:rsidRPr="004C5BC1">
        <w:rPr>
          <w:rFonts w:cs="Arial"/>
          <w:bCs/>
        </w:rPr>
        <w:t>Abingdon: Routledge.</w:t>
      </w:r>
    </w:p>
    <w:p w:rsidR="004C5BC1" w:rsidRPr="004C5BC1" w:rsidRDefault="004C5BC1" w:rsidP="004C5BC1">
      <w:pPr>
        <w:rPr>
          <w:rFonts w:cs="Arial"/>
        </w:rPr>
      </w:pPr>
      <w:r w:rsidRPr="004C5BC1">
        <w:rPr>
          <w:rFonts w:cs="Arial"/>
          <w:bCs/>
        </w:rPr>
        <w:t xml:space="preserve">Humfrey C (1999) </w:t>
      </w:r>
      <w:r w:rsidRPr="004C5BC1">
        <w:rPr>
          <w:rFonts w:cs="Arial"/>
          <w:bCs/>
          <w:i/>
          <w:iCs/>
        </w:rPr>
        <w:t>Managing International students</w:t>
      </w:r>
      <w:r w:rsidRPr="004C5BC1">
        <w:rPr>
          <w:rFonts w:cs="Arial"/>
          <w:bCs/>
        </w:rPr>
        <w:t xml:space="preserve"> Open University Press, Buckingham</w:t>
      </w:r>
    </w:p>
    <w:p w:rsidR="004C5BC1" w:rsidRPr="004C5BC1" w:rsidRDefault="004C5BC1" w:rsidP="004C5BC1">
      <w:pPr>
        <w:rPr>
          <w:rFonts w:cs="Arial"/>
        </w:rPr>
      </w:pPr>
      <w:r w:rsidRPr="004C5BC1">
        <w:rPr>
          <w:rFonts w:cs="Arial"/>
          <w:bCs/>
        </w:rPr>
        <w:t xml:space="preserve">Jones, E. and Brown, S. (Eds) (2008) </w:t>
      </w:r>
      <w:r w:rsidRPr="004C5BC1">
        <w:rPr>
          <w:rFonts w:cs="Arial"/>
          <w:bCs/>
          <w:i/>
          <w:iCs/>
        </w:rPr>
        <w:t>Internationalising Higher Education</w:t>
      </w:r>
      <w:r w:rsidRPr="004C5BC1">
        <w:rPr>
          <w:rFonts w:cs="Arial"/>
          <w:bCs/>
        </w:rPr>
        <w:t>, London: Routledge.</w:t>
      </w:r>
    </w:p>
    <w:p w:rsidR="004C5BC1" w:rsidRPr="004C5BC1" w:rsidRDefault="004C5BC1" w:rsidP="004C5BC1">
      <w:pPr>
        <w:rPr>
          <w:rFonts w:cs="Arial"/>
        </w:rPr>
      </w:pPr>
      <w:r w:rsidRPr="004C5BC1">
        <w:rPr>
          <w:rFonts w:cs="Arial"/>
          <w:bCs/>
        </w:rPr>
        <w:t>McNamara, D. and Harris, R. (1997</w:t>
      </w:r>
      <w:r w:rsidRPr="004C5BC1">
        <w:rPr>
          <w:rFonts w:cs="Arial"/>
          <w:bCs/>
          <w:i/>
          <w:iCs/>
        </w:rPr>
        <w:t xml:space="preserve">) Overseas students in Higher Education: issues in teaching and learning, </w:t>
      </w:r>
      <w:r w:rsidRPr="004C5BC1">
        <w:rPr>
          <w:rFonts w:cs="Arial"/>
          <w:bCs/>
        </w:rPr>
        <w:t xml:space="preserve">London: Routledge </w:t>
      </w:r>
    </w:p>
    <w:p w:rsidR="004C5BC1" w:rsidRPr="004C5BC1" w:rsidRDefault="004C5BC1" w:rsidP="004C5BC1">
      <w:pPr>
        <w:rPr>
          <w:rFonts w:cs="Arial"/>
        </w:rPr>
      </w:pPr>
      <w:r w:rsidRPr="004C5BC1">
        <w:rPr>
          <w:rFonts w:cs="Arial"/>
          <w:bCs/>
        </w:rPr>
        <w:t xml:space="preserve">Ryan, J. (2000) </w:t>
      </w:r>
      <w:r w:rsidRPr="004C5BC1">
        <w:rPr>
          <w:rFonts w:cs="Arial"/>
          <w:bCs/>
          <w:i/>
          <w:iCs/>
        </w:rPr>
        <w:t>A Guide to Teaching International Students,</w:t>
      </w:r>
      <w:r w:rsidRPr="004C5BC1">
        <w:rPr>
          <w:rFonts w:cs="Arial"/>
          <w:bCs/>
        </w:rPr>
        <w:t xml:space="preserve"> Oxford: Oxford Centre for Staff and Learning Development.</w:t>
      </w:r>
    </w:p>
    <w:p w:rsidR="004C5BC1" w:rsidRPr="004C5BC1" w:rsidRDefault="004C5BC1" w:rsidP="004C5BC1">
      <w:pPr>
        <w:rPr>
          <w:rFonts w:cs="Arial"/>
        </w:rPr>
      </w:pPr>
      <w:r w:rsidRPr="004C5BC1">
        <w:rPr>
          <w:rFonts w:cs="Arial"/>
          <w:bCs/>
        </w:rPr>
        <w:t xml:space="preserve">Wisker, G. (2001) </w:t>
      </w:r>
      <w:r w:rsidRPr="004C5BC1">
        <w:rPr>
          <w:rFonts w:cs="Arial"/>
          <w:bCs/>
          <w:i/>
          <w:iCs/>
        </w:rPr>
        <w:t>Good practice working with international students</w:t>
      </w:r>
      <w:r w:rsidRPr="004C5BC1">
        <w:rPr>
          <w:rFonts w:cs="Arial"/>
          <w:bCs/>
        </w:rPr>
        <w:t>, Birmingham: SEDA paper 110, the Staff and educational Development Association.</w:t>
      </w:r>
    </w:p>
    <w:p w:rsidR="004C5BC1" w:rsidRPr="00143DE8" w:rsidRDefault="004C5BC1" w:rsidP="00264386">
      <w:pPr>
        <w:rPr>
          <w:rFonts w:cs="Arial"/>
        </w:rPr>
      </w:pPr>
    </w:p>
    <w:sectPr w:rsidR="004C5BC1" w:rsidRPr="00143DE8" w:rsidSect="00C125B9">
      <w:pgSz w:w="16838" w:h="11906" w:orient="landscape"/>
      <w:pgMar w:top="1134"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F4F" w:rsidRDefault="00496F4F" w:rsidP="00C125B9">
      <w:pPr>
        <w:spacing w:after="0" w:line="240" w:lineRule="auto"/>
      </w:pPr>
      <w:r>
        <w:separator/>
      </w:r>
    </w:p>
  </w:endnote>
  <w:endnote w:type="continuationSeparator" w:id="0">
    <w:p w:rsidR="00496F4F" w:rsidRDefault="00496F4F" w:rsidP="00C125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F4F" w:rsidRDefault="00496F4F" w:rsidP="00C125B9">
      <w:pPr>
        <w:spacing w:after="0" w:line="240" w:lineRule="auto"/>
      </w:pPr>
      <w:r>
        <w:separator/>
      </w:r>
    </w:p>
  </w:footnote>
  <w:footnote w:type="continuationSeparator" w:id="0">
    <w:p w:rsidR="00496F4F" w:rsidRDefault="00496F4F" w:rsidP="00C125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7514D"/>
    <w:multiLevelType w:val="hybridMultilevel"/>
    <w:tmpl w:val="6E984606"/>
    <w:lvl w:ilvl="0" w:tplc="E4CE443A">
      <w:start w:val="1"/>
      <w:numFmt w:val="bullet"/>
      <w:lvlText w:val=""/>
      <w:lvlJc w:val="left"/>
      <w:pPr>
        <w:tabs>
          <w:tab w:val="num" w:pos="720"/>
        </w:tabs>
        <w:ind w:left="720" w:hanging="360"/>
      </w:pPr>
      <w:rPr>
        <w:rFonts w:ascii="Wingdings" w:hAnsi="Wingdings" w:hint="default"/>
      </w:rPr>
    </w:lvl>
    <w:lvl w:ilvl="1" w:tplc="EDC074C2" w:tentative="1">
      <w:start w:val="1"/>
      <w:numFmt w:val="bullet"/>
      <w:lvlText w:val=""/>
      <w:lvlJc w:val="left"/>
      <w:pPr>
        <w:tabs>
          <w:tab w:val="num" w:pos="1440"/>
        </w:tabs>
        <w:ind w:left="1440" w:hanging="360"/>
      </w:pPr>
      <w:rPr>
        <w:rFonts w:ascii="Wingdings" w:hAnsi="Wingdings" w:hint="default"/>
      </w:rPr>
    </w:lvl>
    <w:lvl w:ilvl="2" w:tplc="B44A285C" w:tentative="1">
      <w:start w:val="1"/>
      <w:numFmt w:val="bullet"/>
      <w:lvlText w:val=""/>
      <w:lvlJc w:val="left"/>
      <w:pPr>
        <w:tabs>
          <w:tab w:val="num" w:pos="2160"/>
        </w:tabs>
        <w:ind w:left="2160" w:hanging="360"/>
      </w:pPr>
      <w:rPr>
        <w:rFonts w:ascii="Wingdings" w:hAnsi="Wingdings" w:hint="default"/>
      </w:rPr>
    </w:lvl>
    <w:lvl w:ilvl="3" w:tplc="D57EDAB6" w:tentative="1">
      <w:start w:val="1"/>
      <w:numFmt w:val="bullet"/>
      <w:lvlText w:val=""/>
      <w:lvlJc w:val="left"/>
      <w:pPr>
        <w:tabs>
          <w:tab w:val="num" w:pos="2880"/>
        </w:tabs>
        <w:ind w:left="2880" w:hanging="360"/>
      </w:pPr>
      <w:rPr>
        <w:rFonts w:ascii="Wingdings" w:hAnsi="Wingdings" w:hint="default"/>
      </w:rPr>
    </w:lvl>
    <w:lvl w:ilvl="4" w:tplc="32D68DDC" w:tentative="1">
      <w:start w:val="1"/>
      <w:numFmt w:val="bullet"/>
      <w:lvlText w:val=""/>
      <w:lvlJc w:val="left"/>
      <w:pPr>
        <w:tabs>
          <w:tab w:val="num" w:pos="3600"/>
        </w:tabs>
        <w:ind w:left="3600" w:hanging="360"/>
      </w:pPr>
      <w:rPr>
        <w:rFonts w:ascii="Wingdings" w:hAnsi="Wingdings" w:hint="default"/>
      </w:rPr>
    </w:lvl>
    <w:lvl w:ilvl="5" w:tplc="9DAC4F8E" w:tentative="1">
      <w:start w:val="1"/>
      <w:numFmt w:val="bullet"/>
      <w:lvlText w:val=""/>
      <w:lvlJc w:val="left"/>
      <w:pPr>
        <w:tabs>
          <w:tab w:val="num" w:pos="4320"/>
        </w:tabs>
        <w:ind w:left="4320" w:hanging="360"/>
      </w:pPr>
      <w:rPr>
        <w:rFonts w:ascii="Wingdings" w:hAnsi="Wingdings" w:hint="default"/>
      </w:rPr>
    </w:lvl>
    <w:lvl w:ilvl="6" w:tplc="8F8C976E" w:tentative="1">
      <w:start w:val="1"/>
      <w:numFmt w:val="bullet"/>
      <w:lvlText w:val=""/>
      <w:lvlJc w:val="left"/>
      <w:pPr>
        <w:tabs>
          <w:tab w:val="num" w:pos="5040"/>
        </w:tabs>
        <w:ind w:left="5040" w:hanging="360"/>
      </w:pPr>
      <w:rPr>
        <w:rFonts w:ascii="Wingdings" w:hAnsi="Wingdings" w:hint="default"/>
      </w:rPr>
    </w:lvl>
    <w:lvl w:ilvl="7" w:tplc="F5044880" w:tentative="1">
      <w:start w:val="1"/>
      <w:numFmt w:val="bullet"/>
      <w:lvlText w:val=""/>
      <w:lvlJc w:val="left"/>
      <w:pPr>
        <w:tabs>
          <w:tab w:val="num" w:pos="5760"/>
        </w:tabs>
        <w:ind w:left="5760" w:hanging="360"/>
      </w:pPr>
      <w:rPr>
        <w:rFonts w:ascii="Wingdings" w:hAnsi="Wingdings" w:hint="default"/>
      </w:rPr>
    </w:lvl>
    <w:lvl w:ilvl="8" w:tplc="D52A30F8" w:tentative="1">
      <w:start w:val="1"/>
      <w:numFmt w:val="bullet"/>
      <w:lvlText w:val=""/>
      <w:lvlJc w:val="left"/>
      <w:pPr>
        <w:tabs>
          <w:tab w:val="num" w:pos="6480"/>
        </w:tabs>
        <w:ind w:left="6480" w:hanging="360"/>
      </w:pPr>
      <w:rPr>
        <w:rFonts w:ascii="Wingdings" w:hAnsi="Wingdings" w:hint="default"/>
      </w:rPr>
    </w:lvl>
  </w:abstractNum>
  <w:abstractNum w:abstractNumId="1">
    <w:nsid w:val="33FD229F"/>
    <w:multiLevelType w:val="hybridMultilevel"/>
    <w:tmpl w:val="B1D82F60"/>
    <w:lvl w:ilvl="0" w:tplc="DA9A026C">
      <w:start w:val="1"/>
      <w:numFmt w:val="bullet"/>
      <w:lvlText w:val=""/>
      <w:lvlJc w:val="left"/>
      <w:pPr>
        <w:tabs>
          <w:tab w:val="num" w:pos="720"/>
        </w:tabs>
        <w:ind w:left="720" w:hanging="360"/>
      </w:pPr>
      <w:rPr>
        <w:rFonts w:ascii="Wingdings" w:hAnsi="Wingdings" w:hint="default"/>
      </w:rPr>
    </w:lvl>
    <w:lvl w:ilvl="1" w:tplc="3A2E7AAE" w:tentative="1">
      <w:start w:val="1"/>
      <w:numFmt w:val="bullet"/>
      <w:lvlText w:val=""/>
      <w:lvlJc w:val="left"/>
      <w:pPr>
        <w:tabs>
          <w:tab w:val="num" w:pos="1440"/>
        </w:tabs>
        <w:ind w:left="1440" w:hanging="360"/>
      </w:pPr>
      <w:rPr>
        <w:rFonts w:ascii="Wingdings" w:hAnsi="Wingdings" w:hint="default"/>
      </w:rPr>
    </w:lvl>
    <w:lvl w:ilvl="2" w:tplc="023405A0" w:tentative="1">
      <w:start w:val="1"/>
      <w:numFmt w:val="bullet"/>
      <w:lvlText w:val=""/>
      <w:lvlJc w:val="left"/>
      <w:pPr>
        <w:tabs>
          <w:tab w:val="num" w:pos="2160"/>
        </w:tabs>
        <w:ind w:left="2160" w:hanging="360"/>
      </w:pPr>
      <w:rPr>
        <w:rFonts w:ascii="Wingdings" w:hAnsi="Wingdings" w:hint="default"/>
      </w:rPr>
    </w:lvl>
    <w:lvl w:ilvl="3" w:tplc="3230DAA8" w:tentative="1">
      <w:start w:val="1"/>
      <w:numFmt w:val="bullet"/>
      <w:lvlText w:val=""/>
      <w:lvlJc w:val="left"/>
      <w:pPr>
        <w:tabs>
          <w:tab w:val="num" w:pos="2880"/>
        </w:tabs>
        <w:ind w:left="2880" w:hanging="360"/>
      </w:pPr>
      <w:rPr>
        <w:rFonts w:ascii="Wingdings" w:hAnsi="Wingdings" w:hint="default"/>
      </w:rPr>
    </w:lvl>
    <w:lvl w:ilvl="4" w:tplc="F1341802" w:tentative="1">
      <w:start w:val="1"/>
      <w:numFmt w:val="bullet"/>
      <w:lvlText w:val=""/>
      <w:lvlJc w:val="left"/>
      <w:pPr>
        <w:tabs>
          <w:tab w:val="num" w:pos="3600"/>
        </w:tabs>
        <w:ind w:left="3600" w:hanging="360"/>
      </w:pPr>
      <w:rPr>
        <w:rFonts w:ascii="Wingdings" w:hAnsi="Wingdings" w:hint="default"/>
      </w:rPr>
    </w:lvl>
    <w:lvl w:ilvl="5" w:tplc="7B56269A" w:tentative="1">
      <w:start w:val="1"/>
      <w:numFmt w:val="bullet"/>
      <w:lvlText w:val=""/>
      <w:lvlJc w:val="left"/>
      <w:pPr>
        <w:tabs>
          <w:tab w:val="num" w:pos="4320"/>
        </w:tabs>
        <w:ind w:left="4320" w:hanging="360"/>
      </w:pPr>
      <w:rPr>
        <w:rFonts w:ascii="Wingdings" w:hAnsi="Wingdings" w:hint="default"/>
      </w:rPr>
    </w:lvl>
    <w:lvl w:ilvl="6" w:tplc="60DC31CE" w:tentative="1">
      <w:start w:val="1"/>
      <w:numFmt w:val="bullet"/>
      <w:lvlText w:val=""/>
      <w:lvlJc w:val="left"/>
      <w:pPr>
        <w:tabs>
          <w:tab w:val="num" w:pos="5040"/>
        </w:tabs>
        <w:ind w:left="5040" w:hanging="360"/>
      </w:pPr>
      <w:rPr>
        <w:rFonts w:ascii="Wingdings" w:hAnsi="Wingdings" w:hint="default"/>
      </w:rPr>
    </w:lvl>
    <w:lvl w:ilvl="7" w:tplc="F788C13E" w:tentative="1">
      <w:start w:val="1"/>
      <w:numFmt w:val="bullet"/>
      <w:lvlText w:val=""/>
      <w:lvlJc w:val="left"/>
      <w:pPr>
        <w:tabs>
          <w:tab w:val="num" w:pos="5760"/>
        </w:tabs>
        <w:ind w:left="5760" w:hanging="360"/>
      </w:pPr>
      <w:rPr>
        <w:rFonts w:ascii="Wingdings" w:hAnsi="Wingdings" w:hint="default"/>
      </w:rPr>
    </w:lvl>
    <w:lvl w:ilvl="8" w:tplc="E816549E" w:tentative="1">
      <w:start w:val="1"/>
      <w:numFmt w:val="bullet"/>
      <w:lvlText w:val=""/>
      <w:lvlJc w:val="left"/>
      <w:pPr>
        <w:tabs>
          <w:tab w:val="num" w:pos="6480"/>
        </w:tabs>
        <w:ind w:left="6480" w:hanging="360"/>
      </w:pPr>
      <w:rPr>
        <w:rFonts w:ascii="Wingdings" w:hAnsi="Wingdings" w:hint="default"/>
      </w:rPr>
    </w:lvl>
  </w:abstractNum>
  <w:abstractNum w:abstractNumId="2">
    <w:nsid w:val="713A0F05"/>
    <w:multiLevelType w:val="hybridMultilevel"/>
    <w:tmpl w:val="0408E720"/>
    <w:lvl w:ilvl="0" w:tplc="5C78F278">
      <w:start w:val="1"/>
      <w:numFmt w:val="bullet"/>
      <w:lvlText w:val=""/>
      <w:lvlJc w:val="left"/>
      <w:pPr>
        <w:tabs>
          <w:tab w:val="num" w:pos="720"/>
        </w:tabs>
        <w:ind w:left="720" w:hanging="360"/>
      </w:pPr>
      <w:rPr>
        <w:rFonts w:ascii="Wingdings" w:hAnsi="Wingdings" w:hint="default"/>
      </w:rPr>
    </w:lvl>
    <w:lvl w:ilvl="1" w:tplc="7CEE57FC" w:tentative="1">
      <w:start w:val="1"/>
      <w:numFmt w:val="bullet"/>
      <w:lvlText w:val=""/>
      <w:lvlJc w:val="left"/>
      <w:pPr>
        <w:tabs>
          <w:tab w:val="num" w:pos="1440"/>
        </w:tabs>
        <w:ind w:left="1440" w:hanging="360"/>
      </w:pPr>
      <w:rPr>
        <w:rFonts w:ascii="Wingdings" w:hAnsi="Wingdings" w:hint="default"/>
      </w:rPr>
    </w:lvl>
    <w:lvl w:ilvl="2" w:tplc="D4986058" w:tentative="1">
      <w:start w:val="1"/>
      <w:numFmt w:val="bullet"/>
      <w:lvlText w:val=""/>
      <w:lvlJc w:val="left"/>
      <w:pPr>
        <w:tabs>
          <w:tab w:val="num" w:pos="2160"/>
        </w:tabs>
        <w:ind w:left="2160" w:hanging="360"/>
      </w:pPr>
      <w:rPr>
        <w:rFonts w:ascii="Wingdings" w:hAnsi="Wingdings" w:hint="default"/>
      </w:rPr>
    </w:lvl>
    <w:lvl w:ilvl="3" w:tplc="ABFC7B8C" w:tentative="1">
      <w:start w:val="1"/>
      <w:numFmt w:val="bullet"/>
      <w:lvlText w:val=""/>
      <w:lvlJc w:val="left"/>
      <w:pPr>
        <w:tabs>
          <w:tab w:val="num" w:pos="2880"/>
        </w:tabs>
        <w:ind w:left="2880" w:hanging="360"/>
      </w:pPr>
      <w:rPr>
        <w:rFonts w:ascii="Wingdings" w:hAnsi="Wingdings" w:hint="default"/>
      </w:rPr>
    </w:lvl>
    <w:lvl w:ilvl="4" w:tplc="12267A46" w:tentative="1">
      <w:start w:val="1"/>
      <w:numFmt w:val="bullet"/>
      <w:lvlText w:val=""/>
      <w:lvlJc w:val="left"/>
      <w:pPr>
        <w:tabs>
          <w:tab w:val="num" w:pos="3600"/>
        </w:tabs>
        <w:ind w:left="3600" w:hanging="360"/>
      </w:pPr>
      <w:rPr>
        <w:rFonts w:ascii="Wingdings" w:hAnsi="Wingdings" w:hint="default"/>
      </w:rPr>
    </w:lvl>
    <w:lvl w:ilvl="5" w:tplc="65DC1144" w:tentative="1">
      <w:start w:val="1"/>
      <w:numFmt w:val="bullet"/>
      <w:lvlText w:val=""/>
      <w:lvlJc w:val="left"/>
      <w:pPr>
        <w:tabs>
          <w:tab w:val="num" w:pos="4320"/>
        </w:tabs>
        <w:ind w:left="4320" w:hanging="360"/>
      </w:pPr>
      <w:rPr>
        <w:rFonts w:ascii="Wingdings" w:hAnsi="Wingdings" w:hint="default"/>
      </w:rPr>
    </w:lvl>
    <w:lvl w:ilvl="6" w:tplc="AD86A300" w:tentative="1">
      <w:start w:val="1"/>
      <w:numFmt w:val="bullet"/>
      <w:lvlText w:val=""/>
      <w:lvlJc w:val="left"/>
      <w:pPr>
        <w:tabs>
          <w:tab w:val="num" w:pos="5040"/>
        </w:tabs>
        <w:ind w:left="5040" w:hanging="360"/>
      </w:pPr>
      <w:rPr>
        <w:rFonts w:ascii="Wingdings" w:hAnsi="Wingdings" w:hint="default"/>
      </w:rPr>
    </w:lvl>
    <w:lvl w:ilvl="7" w:tplc="B218D51C" w:tentative="1">
      <w:start w:val="1"/>
      <w:numFmt w:val="bullet"/>
      <w:lvlText w:val=""/>
      <w:lvlJc w:val="left"/>
      <w:pPr>
        <w:tabs>
          <w:tab w:val="num" w:pos="5760"/>
        </w:tabs>
        <w:ind w:left="5760" w:hanging="360"/>
      </w:pPr>
      <w:rPr>
        <w:rFonts w:ascii="Wingdings" w:hAnsi="Wingdings" w:hint="default"/>
      </w:rPr>
    </w:lvl>
    <w:lvl w:ilvl="8" w:tplc="2146D31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21581"/>
    <w:rsid w:val="000F4ED3"/>
    <w:rsid w:val="00143DE8"/>
    <w:rsid w:val="001F3A0C"/>
    <w:rsid w:val="00264386"/>
    <w:rsid w:val="002661F0"/>
    <w:rsid w:val="002919F5"/>
    <w:rsid w:val="00422551"/>
    <w:rsid w:val="004652D3"/>
    <w:rsid w:val="00496F4F"/>
    <w:rsid w:val="004C5BC1"/>
    <w:rsid w:val="005C4AB0"/>
    <w:rsid w:val="00621581"/>
    <w:rsid w:val="006823B4"/>
    <w:rsid w:val="006E6EBA"/>
    <w:rsid w:val="008179EE"/>
    <w:rsid w:val="00830628"/>
    <w:rsid w:val="008664BB"/>
    <w:rsid w:val="008808F0"/>
    <w:rsid w:val="00AB5EB5"/>
    <w:rsid w:val="00C125B9"/>
    <w:rsid w:val="00E719B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AB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6215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Grid">
    <w:name w:val="Table Grid"/>
    <w:basedOn w:val="TableNormal"/>
    <w:uiPriority w:val="59"/>
    <w:rsid w:val="006215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125B9"/>
    <w:rPr>
      <w:color w:val="0000FF" w:themeColor="hyperlink"/>
      <w:u w:val="single"/>
    </w:rPr>
  </w:style>
  <w:style w:type="paragraph" w:styleId="Header">
    <w:name w:val="header"/>
    <w:basedOn w:val="Normal"/>
    <w:link w:val="HeaderChar"/>
    <w:uiPriority w:val="99"/>
    <w:semiHidden/>
    <w:unhideWhenUsed/>
    <w:rsid w:val="00C125B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125B9"/>
  </w:style>
  <w:style w:type="paragraph" w:styleId="Footer">
    <w:name w:val="footer"/>
    <w:basedOn w:val="Normal"/>
    <w:link w:val="FooterChar"/>
    <w:uiPriority w:val="99"/>
    <w:semiHidden/>
    <w:unhideWhenUsed/>
    <w:rsid w:val="00C125B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125B9"/>
  </w:style>
  <w:style w:type="character" w:styleId="FollowedHyperlink">
    <w:name w:val="FollowedHyperlink"/>
    <w:basedOn w:val="DefaultParagraphFont"/>
    <w:uiPriority w:val="99"/>
    <w:semiHidden/>
    <w:unhideWhenUsed/>
    <w:rsid w:val="002919F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3139375">
      <w:bodyDiv w:val="1"/>
      <w:marLeft w:val="0"/>
      <w:marRight w:val="0"/>
      <w:marTop w:val="0"/>
      <w:marBottom w:val="0"/>
      <w:divBdr>
        <w:top w:val="none" w:sz="0" w:space="0" w:color="auto"/>
        <w:left w:val="none" w:sz="0" w:space="0" w:color="auto"/>
        <w:bottom w:val="none" w:sz="0" w:space="0" w:color="auto"/>
        <w:right w:val="none" w:sz="0" w:space="0" w:color="auto"/>
      </w:divBdr>
      <w:divsChild>
        <w:div w:id="1534729306">
          <w:marLeft w:val="547"/>
          <w:marRight w:val="0"/>
          <w:marTop w:val="173"/>
          <w:marBottom w:val="0"/>
          <w:divBdr>
            <w:top w:val="none" w:sz="0" w:space="0" w:color="auto"/>
            <w:left w:val="none" w:sz="0" w:space="0" w:color="auto"/>
            <w:bottom w:val="none" w:sz="0" w:space="0" w:color="auto"/>
            <w:right w:val="none" w:sz="0" w:space="0" w:color="auto"/>
          </w:divBdr>
        </w:div>
        <w:div w:id="2100364556">
          <w:marLeft w:val="547"/>
          <w:marRight w:val="0"/>
          <w:marTop w:val="173"/>
          <w:marBottom w:val="0"/>
          <w:divBdr>
            <w:top w:val="none" w:sz="0" w:space="0" w:color="auto"/>
            <w:left w:val="none" w:sz="0" w:space="0" w:color="auto"/>
            <w:bottom w:val="none" w:sz="0" w:space="0" w:color="auto"/>
            <w:right w:val="none" w:sz="0" w:space="0" w:color="auto"/>
          </w:divBdr>
        </w:div>
        <w:div w:id="1534490806">
          <w:marLeft w:val="547"/>
          <w:marRight w:val="0"/>
          <w:marTop w:val="173"/>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lly-brow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8858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2014-11-24T11:10:00Z</dcterms:created>
  <dcterms:modified xsi:type="dcterms:W3CDTF">2014-11-24T11:14:00Z</dcterms:modified>
</cp:coreProperties>
</file>