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A3" w:rsidRDefault="005A2826" w:rsidP="00EC63A3">
      <w:pPr>
        <w:pStyle w:val="Heading2"/>
        <w:spacing w:before="0" w:after="0"/>
        <w:rPr>
          <w:sz w:val="32"/>
        </w:rPr>
      </w:pPr>
      <w:r w:rsidRPr="005A2826">
        <w:rPr>
          <w:sz w:val="32"/>
        </w:rPr>
        <w:t>A critical comparison of eleven assessment types</w:t>
      </w:r>
    </w:p>
    <w:p w:rsidR="005A2826" w:rsidRPr="005A2826" w:rsidRDefault="005A2826" w:rsidP="00EC63A3">
      <w:pPr>
        <w:pStyle w:val="Heading2"/>
        <w:spacing w:before="0" w:after="0"/>
        <w:rPr>
          <w:sz w:val="32"/>
        </w:rPr>
      </w:pPr>
      <w:r w:rsidRPr="005A2826">
        <w:rPr>
          <w:sz w:val="20"/>
        </w:rPr>
        <w:t>(From ‘Making Learning Happen: 3</w:t>
      </w:r>
      <w:r w:rsidRPr="005A2826">
        <w:rPr>
          <w:sz w:val="20"/>
          <w:vertAlign w:val="superscript"/>
        </w:rPr>
        <w:t>rd</w:t>
      </w:r>
      <w:r w:rsidRPr="005A2826">
        <w:rPr>
          <w:sz w:val="20"/>
        </w:rPr>
        <w:t xml:space="preserve"> edition’, Phi</w:t>
      </w:r>
      <w:r w:rsidR="00560B6B">
        <w:rPr>
          <w:sz w:val="20"/>
        </w:rPr>
        <w:t>l</w:t>
      </w:r>
      <w:r w:rsidRPr="005A2826">
        <w:rPr>
          <w:sz w:val="20"/>
        </w:rPr>
        <w:t xml:space="preserve"> Race (2014) London: Sage)</w:t>
      </w:r>
    </w:p>
    <w:p w:rsidR="005A2826" w:rsidRPr="005A2826" w:rsidRDefault="005A2826" w:rsidP="00EC63A3">
      <w:pPr>
        <w:spacing w:after="0"/>
      </w:pPr>
      <w:r w:rsidRPr="005A2826">
        <w:t xml:space="preserve">The table below illustrates the pros and cons of several kinds of assessment. In each case, in the ‘status’ column I have included judgements regarding how well (or how poorly) each assessment type listed measures up to validity, fairness, whodunit? (whether there could be serious doubts or not regarding whose work is being assessed), links to the real world, and the extent to which feedback to learners may be available, or useful. </w:t>
      </w:r>
    </w:p>
    <w:tbl>
      <w:tblPr>
        <w:tblStyle w:val="TableGrid"/>
        <w:tblW w:w="0" w:type="auto"/>
        <w:tblLook w:val="04A0"/>
      </w:tblPr>
      <w:tblGrid>
        <w:gridCol w:w="5364"/>
        <w:gridCol w:w="2994"/>
        <w:gridCol w:w="3673"/>
        <w:gridCol w:w="3583"/>
      </w:tblGrid>
      <w:tr w:rsidR="005A2826" w:rsidRPr="005A2826" w:rsidTr="005A2826">
        <w:trPr>
          <w:tblHeader/>
        </w:trPr>
        <w:tc>
          <w:tcPr>
            <w:tcW w:w="0" w:type="auto"/>
          </w:tcPr>
          <w:p w:rsidR="005A2826" w:rsidRPr="005A2826" w:rsidRDefault="005A2826" w:rsidP="00333514">
            <w:pPr>
              <w:rPr>
                <w:rFonts w:asciiTheme="minorHAnsi" w:hAnsiTheme="minorHAnsi"/>
                <w:b/>
                <w:sz w:val="18"/>
              </w:rPr>
            </w:pPr>
            <w:r w:rsidRPr="005A2826">
              <w:rPr>
                <w:rFonts w:asciiTheme="minorHAnsi" w:hAnsiTheme="minorHAnsi"/>
                <w:b/>
                <w:sz w:val="18"/>
              </w:rPr>
              <w:t>Type of assessment</w:t>
            </w:r>
          </w:p>
          <w:p w:rsidR="005A2826" w:rsidRPr="005A2826" w:rsidRDefault="005A2826" w:rsidP="00333514">
            <w:pPr>
              <w:rPr>
                <w:rFonts w:asciiTheme="minorHAnsi" w:hAnsiTheme="minorHAnsi"/>
                <w:b/>
                <w:sz w:val="18"/>
              </w:rPr>
            </w:pPr>
          </w:p>
        </w:tc>
        <w:tc>
          <w:tcPr>
            <w:tcW w:w="0" w:type="auto"/>
          </w:tcPr>
          <w:p w:rsidR="005A2826" w:rsidRPr="005A2826" w:rsidRDefault="005A2826" w:rsidP="00333514">
            <w:pPr>
              <w:rPr>
                <w:rFonts w:asciiTheme="minorHAnsi" w:hAnsiTheme="minorHAnsi"/>
                <w:b/>
                <w:sz w:val="18"/>
              </w:rPr>
            </w:pPr>
            <w:r w:rsidRPr="005A2826">
              <w:rPr>
                <w:rFonts w:asciiTheme="minorHAnsi" w:hAnsiTheme="minorHAnsi"/>
                <w:b/>
                <w:sz w:val="18"/>
              </w:rPr>
              <w:t>Status</w:t>
            </w:r>
          </w:p>
        </w:tc>
        <w:tc>
          <w:tcPr>
            <w:tcW w:w="0" w:type="auto"/>
          </w:tcPr>
          <w:p w:rsidR="005A2826" w:rsidRPr="005A2826" w:rsidRDefault="005A2826" w:rsidP="00333514">
            <w:pPr>
              <w:ind w:left="230" w:hanging="230"/>
              <w:rPr>
                <w:rFonts w:asciiTheme="minorHAnsi" w:hAnsiTheme="minorHAnsi"/>
                <w:b/>
                <w:sz w:val="18"/>
              </w:rPr>
            </w:pPr>
            <w:r w:rsidRPr="005A2826">
              <w:rPr>
                <w:rFonts w:asciiTheme="minorHAnsi" w:hAnsiTheme="minorHAnsi"/>
                <w:b/>
                <w:sz w:val="18"/>
              </w:rPr>
              <w:t>Advantages</w:t>
            </w:r>
          </w:p>
        </w:tc>
        <w:tc>
          <w:tcPr>
            <w:tcW w:w="0" w:type="auto"/>
          </w:tcPr>
          <w:p w:rsidR="005A2826" w:rsidRPr="005A2826" w:rsidRDefault="005A2826" w:rsidP="00333514">
            <w:pPr>
              <w:ind w:left="203" w:hanging="203"/>
              <w:rPr>
                <w:rFonts w:asciiTheme="minorHAnsi" w:hAnsiTheme="minorHAnsi"/>
                <w:b/>
                <w:sz w:val="18"/>
              </w:rPr>
            </w:pPr>
            <w:r w:rsidRPr="005A2826">
              <w:rPr>
                <w:rFonts w:asciiTheme="minorHAnsi" w:hAnsiTheme="minorHAnsi"/>
                <w:b/>
                <w:sz w:val="18"/>
              </w:rPr>
              <w:t>Disadvantages</w:t>
            </w:r>
          </w:p>
        </w:tc>
      </w:tr>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t>1  Traditional Exams</w:t>
            </w:r>
          </w:p>
          <w:p w:rsidR="005A2826" w:rsidRPr="005A2826" w:rsidRDefault="005A2826" w:rsidP="00333514">
            <w:pPr>
              <w:rPr>
                <w:rFonts w:asciiTheme="minorHAnsi" w:hAnsiTheme="minorHAnsi"/>
                <w:sz w:val="18"/>
              </w:rPr>
            </w:pPr>
            <w:r w:rsidRPr="005A2826">
              <w:rPr>
                <w:rFonts w:asciiTheme="minorHAnsi" w:hAnsiTheme="minorHAnsi"/>
                <w:sz w:val="18"/>
              </w:rPr>
              <w:t>Exams are often referred to as the ‘gold standard’ because of their widespread use in secondary and higher education. Still the most common kinds of exam, are handwritten, invigilated, against-the-clock, with questions not being known by candidates beforehand.</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Exams remain prevalent on many post-compulsory education courses, sometimes where questions are set by external examiners, and sometimes by the staff who teach the learners. Timescales vary, but two hours and three hours are relatively common in universities, though  much shorter exams are perfectly possible (and perhaps desirable).</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Many traditional exams offer candidates a choice of questions (e.g. attempt any 5 out of 8 questions, each carrying equal marks), but increasingly there may be a compulsory section, then a section providing choices.</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poor, limited to what comes out of pens.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good, but poor when answers are essay-type, and different markers would award very different marks for the same essay.</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relatively safe (though stories of ingenious cheating are legion!).</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written exams are not at all close to the workings of the real world; most people never do a written exam again after leaving university.</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very limited indeed, usually just a score/grade or pass/fail, which can leave candidates having very little idea about what they did well or badly.</w:t>
            </w:r>
          </w:p>
          <w:p w:rsidR="005A2826" w:rsidRPr="005A2826" w:rsidRDefault="005A2826" w:rsidP="00333514">
            <w:pPr>
              <w:rPr>
                <w:rFonts w:asciiTheme="minorHAnsi" w:hAnsiTheme="minorHAnsi"/>
                <w:sz w:val="18"/>
              </w:rPr>
            </w:pP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avoid plagiarism and cheating.</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Give data which can be ranked and handled quantitatively.</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Exams are relatively familiar to learners entering higher education, as they’ve already experienced them at school.</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Exams are already ‘hard-wired’ into many university systems, so a case doesn’t have to be made for continuing to use them.</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Written exams are much better for some subjects than others: for example they can work well for mathematical and quantitative subject matter, and tend to work really badly for ‘wordy’ or descriptive matter.</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As has been argued already in this book, exams tend only to measure what comes out of pens, a poor proxy for what might be in heads. </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Many otherwise capable learners never show their best efforts under exam conditions.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take a long time to mark a set of exam scripts (properly). (There are economies of scale for large numbers of candidates as examiners become familiar with the marking scheme being used).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Problems with speed of writing and legibility, and difficulties candidates face when using a se.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‘Sudden death’: a bad day can mar a lifetime.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A snapshot of achievement, rather than a real measure of it.</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One of the main skills measured tends to be time-management – dividing the available time sensibly between the questions being attempted.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Promotes surface-learning: filling heads with information to use ‘on the day’ and forget as quickly as possible thereafter.</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Question-spotting by candidates can pay off substantially, meaning that at least some candidates pass without having learned the whole syllabus reasonably well.</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Where candidates have a choice of questions, it is really hard to get all of the questions to be of equal difficulty – leading to at least some candidates ending up with an easier exam than others overall.</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Long-answer written exams contribute to the continuing trend for post-compulsory education to remain ‘elitist’ – i.e. to favour those who are good at such exams.</w:t>
            </w:r>
          </w:p>
        </w:tc>
        <w:bookmarkStart w:id="0" w:name="_GoBack"/>
        <w:bookmarkEnd w:id="0"/>
      </w:tr>
    </w:tbl>
    <w:p w:rsidR="00EC63A3" w:rsidRDefault="00EC63A3"/>
    <w:tbl>
      <w:tblPr>
        <w:tblStyle w:val="TableGrid"/>
        <w:tblW w:w="0" w:type="auto"/>
        <w:tblLook w:val="04A0"/>
      </w:tblPr>
      <w:tblGrid>
        <w:gridCol w:w="4047"/>
        <w:gridCol w:w="3853"/>
        <w:gridCol w:w="3904"/>
        <w:gridCol w:w="3810"/>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lastRenderedPageBreak/>
              <w:t>2  Short-answer exams</w:t>
            </w:r>
          </w:p>
          <w:p w:rsidR="005A2826" w:rsidRPr="005A2826" w:rsidRDefault="005A2826" w:rsidP="00333514">
            <w:pPr>
              <w:rPr>
                <w:rFonts w:asciiTheme="minorHAnsi" w:hAnsiTheme="minorHAnsi"/>
                <w:sz w:val="18"/>
              </w:rPr>
            </w:pPr>
            <w:r w:rsidRPr="005A2826">
              <w:rPr>
                <w:rFonts w:asciiTheme="minorHAnsi" w:hAnsiTheme="minorHAnsi"/>
                <w:sz w:val="18"/>
              </w:rPr>
              <w:t xml:space="preserve">Short written responses to a large number of questions. </w:t>
            </w:r>
          </w:p>
          <w:p w:rsidR="005A2826" w:rsidRPr="005A2826" w:rsidRDefault="005A2826" w:rsidP="00333514">
            <w:pPr>
              <w:rPr>
                <w:rFonts w:asciiTheme="minorHAnsi" w:hAnsiTheme="minorHAnsi"/>
                <w:sz w:val="18"/>
              </w:rPr>
            </w:pPr>
            <w:r w:rsidRPr="005A2826">
              <w:rPr>
                <w:rFonts w:asciiTheme="minorHAnsi" w:hAnsiTheme="minorHAnsi"/>
                <w:sz w:val="18"/>
              </w:rPr>
              <w:t>Usually the whole exam is compulsory, reducing the tendency for candidates to us question-spotting as a means of deliberately only learning some of the syllabus.</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often a lot better than long-answer exams, as evidence of achievement of learning outcomes can be covered much more fully, rather than the ‘write down everything you happen to know’ tendency which long-answer questions can engender.</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good.</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safe under exam conditions.</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closer than traditional exams, as success may involve knowing the overall subject really well.</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poor, usually just a score or grade.</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Can cover a wide range of topics in a limited time.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Not so much affected by speed of writing or legibility.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be somewhat faster to  mark than long-answer exams (but not always).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measure breadth of knowledge.</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Is fairer than exams where there are choices of question, as all candidates are effectively taking exactly the same exam.</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Can miss out on depth of knowledge.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Can deprive high-fliers of the opportunity to excel. </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take much longer to design a short-answer exam paper than a traditional long-answer one.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be quite difficult to apportion marks across the various elements in a short-answer exam paper.</w:t>
            </w:r>
          </w:p>
        </w:tc>
      </w:tr>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t>3  Multiple-choice exams</w:t>
            </w:r>
          </w:p>
          <w:p w:rsidR="005A2826" w:rsidRPr="005A2826" w:rsidRDefault="005A2826" w:rsidP="00333514">
            <w:pPr>
              <w:rPr>
                <w:rFonts w:asciiTheme="minorHAnsi" w:hAnsiTheme="minorHAnsi"/>
                <w:sz w:val="18"/>
              </w:rPr>
            </w:pPr>
            <w:r w:rsidRPr="005A2826">
              <w:rPr>
                <w:rFonts w:asciiTheme="minorHAnsi" w:hAnsiTheme="minorHAnsi"/>
                <w:sz w:val="18"/>
              </w:rPr>
              <w:t>Paper-based or computer-based: e.g. select the ‘best’ option from 4 or 5 alternatives for each of a fairly long list of questions.</w:t>
            </w:r>
          </w:p>
          <w:p w:rsidR="005A2826" w:rsidRPr="005A2826" w:rsidRDefault="005A2826" w:rsidP="00333514">
            <w:pPr>
              <w:rPr>
                <w:rFonts w:asciiTheme="minorHAnsi" w:hAnsiTheme="minorHAnsi"/>
                <w:sz w:val="18"/>
              </w:rPr>
            </w:pPr>
            <w:r w:rsidRPr="005A2826">
              <w:rPr>
                <w:rFonts w:asciiTheme="minorHAnsi" w:hAnsiTheme="minorHAnsi"/>
                <w:sz w:val="18"/>
              </w:rPr>
              <w:t>Such exams are usually time-constrained, but often most candidates complete the exam with plenty of time to spare.</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 xml:space="preserve">Note that these can be extended to be </w:t>
            </w:r>
            <w:r w:rsidRPr="005A2826">
              <w:rPr>
                <w:rFonts w:asciiTheme="minorHAnsi" w:hAnsiTheme="minorHAnsi"/>
                <w:b/>
                <w:sz w:val="18"/>
              </w:rPr>
              <w:t xml:space="preserve">multiple-response exams, </w:t>
            </w:r>
            <w:r w:rsidRPr="005A2826">
              <w:rPr>
                <w:rFonts w:asciiTheme="minorHAnsi" w:hAnsiTheme="minorHAnsi"/>
                <w:sz w:val="18"/>
              </w:rPr>
              <w:t xml:space="preserve">where each question is along the lines of ‘Which (one or more) of the following options is true?’. This can cause candidates to think harder about </w:t>
            </w:r>
            <w:r w:rsidRPr="005A2826">
              <w:rPr>
                <w:rFonts w:asciiTheme="minorHAnsi" w:hAnsiTheme="minorHAnsi"/>
                <w:i/>
                <w:sz w:val="18"/>
              </w:rPr>
              <w:t>all</w:t>
            </w:r>
            <w:r w:rsidRPr="005A2826">
              <w:rPr>
                <w:rFonts w:asciiTheme="minorHAnsi" w:hAnsiTheme="minorHAnsi"/>
                <w:sz w:val="18"/>
              </w:rPr>
              <w:t xml:space="preserve"> of the options, rather than just picking the ‘best’ then moving on.</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be good if questions well-designed. A wide range of  syllabus knowledge can be addressed in quite a short time.</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really good, if questions well designed and trialled.</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safe under exam conditions; not safe if asynchronous, for example in distance learning contexts.</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can be better than other kinds of exams, as multiple-choice exams tend to measure what goes on in heads, and aren’t limited by what comes out of pens – they can measure decision making well.</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possible to be excellent in speed and quality (but not often achieved). Excellent feedback can address, for each option: ‘was I right?’ and (particularly) ‘if not, </w:t>
            </w:r>
            <w:r w:rsidRPr="005A2826">
              <w:rPr>
                <w:rFonts w:asciiTheme="minorHAnsi" w:hAnsiTheme="minorHAnsi"/>
                <w:i/>
                <w:sz w:val="18"/>
              </w:rPr>
              <w:t>why</w:t>
            </w:r>
            <w:r w:rsidRPr="005A2826">
              <w:rPr>
                <w:rFonts w:asciiTheme="minorHAnsi" w:hAnsiTheme="minorHAnsi"/>
                <w:sz w:val="18"/>
              </w:rPr>
              <w:t xml:space="preserve"> not?’</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Gets away from ‘what comes out of pens’ limitations of other kinds of exams.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When questions well-designed, can quickly test quite a wide range of subject knowledge.</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be useful in areas where rapid decision-making is a useful skill for learners.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Possible to provide feedback on-screen after each decision in computer-based uses, or a complete feedback printout (feedback on the distractors as well as the correct choices) on leaving the exam. (Such printouts can make really useful revision tools for future candidates)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be useful for candidates who have difficulty stringing together fluent prose in written answers, but who can still think clearly through options.</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is much harder than people think to design really good multiple-choice questions.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The ‘key’ is the best option, and is the one intended to be chosen by candidates who know the topic properly. However, It is sometimes hard to design a ‘key’ which is </w:t>
            </w:r>
            <w:r w:rsidRPr="005A2826">
              <w:rPr>
                <w:rFonts w:asciiTheme="minorHAnsi" w:hAnsiTheme="minorHAnsi"/>
                <w:i/>
                <w:sz w:val="18"/>
              </w:rPr>
              <w:t>always</w:t>
            </w:r>
            <w:r w:rsidRPr="005A2826">
              <w:rPr>
                <w:rFonts w:asciiTheme="minorHAnsi" w:hAnsiTheme="minorHAnsi"/>
                <w:sz w:val="18"/>
              </w:rPr>
              <w:t xml:space="preserve"> right – high-fliers can often spot when even this choice is not correct.</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be difficult to design good ‘distractors’.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Options such as ‘all of the above’ or ‘none of the above’ are still too often included (usually though laziness regarding thinking of more distractors), and which are very rarely the ‘best’ option in any case.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Questions need to be well piloted and tested before being used in exams.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Still an element of ‘luck’ picking the best option (in a test using four-option questions, the average monkey should score 25%).</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Quite a lot of emphasis now goes onto </w:t>
            </w:r>
            <w:r w:rsidRPr="005A2826">
              <w:rPr>
                <w:rFonts w:asciiTheme="minorHAnsi" w:hAnsiTheme="minorHAnsi"/>
                <w:i/>
                <w:sz w:val="18"/>
              </w:rPr>
              <w:t>reading</w:t>
            </w:r>
            <w:r w:rsidRPr="005A2826">
              <w:rPr>
                <w:rFonts w:asciiTheme="minorHAnsi" w:hAnsiTheme="minorHAnsi"/>
                <w:sz w:val="18"/>
              </w:rPr>
              <w:t xml:space="preserve"> the questions and options well; learners with limited skills or speed in reading can be disadvantaged.</w:t>
            </w:r>
          </w:p>
        </w:tc>
      </w:tr>
    </w:tbl>
    <w:p w:rsidR="00EC63A3" w:rsidRDefault="00EC63A3">
      <w:r>
        <w:br w:type="page"/>
      </w:r>
    </w:p>
    <w:tbl>
      <w:tblPr>
        <w:tblStyle w:val="TableGrid"/>
        <w:tblW w:w="0" w:type="auto"/>
        <w:tblLook w:val="04A0"/>
      </w:tblPr>
      <w:tblGrid>
        <w:gridCol w:w="3855"/>
        <w:gridCol w:w="5252"/>
        <w:gridCol w:w="2238"/>
        <w:gridCol w:w="4269"/>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lastRenderedPageBreak/>
              <w:t>4  Essays</w:t>
            </w:r>
          </w:p>
          <w:p w:rsidR="005A2826" w:rsidRPr="005A2826" w:rsidRDefault="005A2826" w:rsidP="00333514">
            <w:pPr>
              <w:rPr>
                <w:rFonts w:asciiTheme="minorHAnsi" w:hAnsiTheme="minorHAnsi"/>
                <w:sz w:val="18"/>
              </w:rPr>
            </w:pPr>
            <w:r w:rsidRPr="005A2826">
              <w:rPr>
                <w:rFonts w:asciiTheme="minorHAnsi" w:hAnsiTheme="minorHAnsi"/>
                <w:sz w:val="18"/>
              </w:rPr>
              <w:t xml:space="preserve">Essays are highly regarded as an assessment type, despite the many disadvantages listed in this table!  </w:t>
            </w:r>
          </w:p>
          <w:p w:rsidR="005A2826" w:rsidRPr="005A2826" w:rsidRDefault="005A2826" w:rsidP="00333514">
            <w:pPr>
              <w:rPr>
                <w:rFonts w:asciiTheme="minorHAnsi" w:hAnsiTheme="minorHAnsi"/>
                <w:sz w:val="18"/>
              </w:rPr>
            </w:pPr>
            <w:r w:rsidRPr="005A2826">
              <w:rPr>
                <w:rFonts w:asciiTheme="minorHAnsi" w:hAnsiTheme="minorHAnsi"/>
                <w:sz w:val="18"/>
              </w:rPr>
              <w:t>At university level, a coursework essay is often an extended account of length such as 3000 words, usually submitted in word-processed form, and often passed through plagiarism-detection software.</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However, handwritten essays (shorter) in exams are still widely used.</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In the case of coursework essays, learners may be given an essay title or theme, or may be allowed to choose from a list of topics, or may have leeway to choose an appropriate topic of their own, or negotiate a topic with a tutor.</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rarely good (prose which comes out of a pen in an exam, or through a keyboard in coursework, is rarely the best way of measuring evidence of achievement of intended outcomes).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poor (a great deal of research evidence is available showing that different markers award very different marks).</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very unsafe, except for essays under exam conditions. Essays can be commissioned and purchased online from well-practised skilled writers! However, concerns about Whodunit? are minimal with small groups of learners, where tutors regularly talk to learners and would usually quickly know if submitted work was not their own.</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not close to the sorts of writing relevant to most careers.</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can be useful, but usually too late, not least because of the length of time it takes to mark a set of essays. There is usually no feedback at all on essays handwritten in exams.</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Allow learners to demonstrate ability to construct written arguments, and to write fluently.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Can give candidates who show ‘depth’  fair reward.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give an indication of the quality, depth and breadth of reading that has been done by candidates.</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Essays take forever to mark, and marking is unreliable (unfair) anyway, as proved by a great deal of research!</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Tends to advantage learners who are good at written ‘waffling’! </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Unless there are tight word-limits, a longer essay will usually score higher than a shorter one.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Where there is an element of choice (e.g. coursework essays) some choices may prove harder to bring off in practice than others, disadvantaging some learners.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In coursework essays, there can be a tendency to copy in (suitably rephrased) sentences from literature sources, without really thinking about the meaning of the elements copied in.</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Spelling, punctuation and grammar may disproportionately affect marking.</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‘Coherence’, flow, ease of reading essays disproportionately influences most markers. A ‘smooth’ essay is usually awarded higher marks than a ‘jerky’ one, even if the content of the latter is much better.</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Where essays are handwritten in exams, it is not at all easy to edit and adjust along the way, e.g. to go back and rephrase the start of the essay appropriately after the main thrust has been addressed.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Handwritten essays in exams are subject to concerns about measuring ‘what comes out of a pen’ rather than ‘what’s in a head’, and are subject to the effects of speed of writing, legibility and so on.</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Handwriting an essay in an exam is quite a different game than composing a word-processed coursework essay, so coursework is poor preparation for the exam experience, and feedback on coursework essays may not help exam candidates.</w:t>
            </w:r>
          </w:p>
        </w:tc>
      </w:tr>
    </w:tbl>
    <w:p w:rsidR="00EC63A3" w:rsidRDefault="00EC63A3">
      <w:r>
        <w:br w:type="page"/>
      </w:r>
    </w:p>
    <w:tbl>
      <w:tblPr>
        <w:tblStyle w:val="TableGrid"/>
        <w:tblW w:w="0" w:type="auto"/>
        <w:tblLook w:val="04A0"/>
      </w:tblPr>
      <w:tblGrid>
        <w:gridCol w:w="3334"/>
        <w:gridCol w:w="3952"/>
        <w:gridCol w:w="3759"/>
        <w:gridCol w:w="4569"/>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lastRenderedPageBreak/>
              <w:t>5  Annotated bibliographies</w:t>
            </w:r>
          </w:p>
          <w:p w:rsidR="005A2826" w:rsidRPr="005A2826" w:rsidRDefault="005A2826" w:rsidP="00333514">
            <w:pPr>
              <w:rPr>
                <w:rFonts w:asciiTheme="minorHAnsi" w:hAnsiTheme="minorHAnsi"/>
                <w:sz w:val="18"/>
              </w:rPr>
            </w:pPr>
            <w:r w:rsidRPr="005A2826">
              <w:rPr>
                <w:rFonts w:asciiTheme="minorHAnsi" w:hAnsiTheme="minorHAnsi"/>
                <w:sz w:val="18"/>
              </w:rPr>
              <w:t>This kind of assessment works best when various elements of the task are specified, including one or more of:</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Overall word count, preferably with quite tight limits;</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Number of sources to include – preferably an exact number in practice;</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Any expected balance between kinds of sources, e.g. journal articles, reviews, book chapters, web sources.</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Whether to include (say) four ‘given’ sources, and four more that individual learners have found;</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Whether to prioritise the sources in order of any particular aspect: e.g. usefulness, authority, relevance to topic, and so on;</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Whether the list should be a comparative one, e.g. with pros and cons of each source in the context of the bibliography;</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Whether there is free choice regarding the ‘age’ of the sources. For example, in some contexts it can be useful to ask limit contents to sources published within the last 3 years.</w:t>
            </w:r>
          </w:p>
          <w:p w:rsidR="005A2826" w:rsidRPr="005A2826" w:rsidRDefault="005A2826" w:rsidP="005A2826">
            <w:pPr>
              <w:pStyle w:val="ListParagraph"/>
              <w:numPr>
                <w:ilvl w:val="0"/>
                <w:numId w:val="1"/>
              </w:numPr>
              <w:ind w:left="426" w:hanging="284"/>
              <w:contextualSpacing/>
              <w:rPr>
                <w:rFonts w:asciiTheme="minorHAnsi" w:hAnsiTheme="minorHAnsi"/>
                <w:sz w:val="18"/>
              </w:rPr>
            </w:pPr>
            <w:r w:rsidRPr="005A2826">
              <w:rPr>
                <w:rFonts w:asciiTheme="minorHAnsi" w:hAnsiTheme="minorHAnsi"/>
                <w:sz w:val="18"/>
              </w:rPr>
              <w:t>The extent to which the comments on each item should include the learner’s own view.</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link well to learning outcomes about breadth of reading, and prioritising quality of sources.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much better than essays or reports, as high-flying candidates quickly distinguish themselves by the quality of their comments on sources, and their rationale for the sources they choose.</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good, as any unwanted collaboration or copying would be fairly obvious (e.g. same sources selected, in same order, and with identical mistakes in the referencing!).</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high relevance to many careers, where learners will need to be able to review a range of sources and select and justify those most relevant to a given context.</w:t>
            </w:r>
          </w:p>
          <w:p w:rsidR="005A2826" w:rsidRPr="005A2826" w:rsidRDefault="005A2826" w:rsidP="00333514">
            <w:pPr>
              <w:rPr>
                <w:rFonts w:asciiTheme="minorHAnsi" w:hAnsiTheme="minorHAnsi"/>
                <w:sz w:val="18"/>
              </w:rPr>
            </w:pPr>
            <w:r w:rsidRPr="005A2826">
              <w:rPr>
                <w:rFonts w:asciiTheme="minorHAnsi" w:hAnsiTheme="minorHAnsi"/>
                <w:b/>
                <w:sz w:val="18"/>
              </w:rPr>
              <w:t xml:space="preserve">Feedback to learners: </w:t>
            </w:r>
            <w:r w:rsidRPr="005A2826">
              <w:rPr>
                <w:rFonts w:asciiTheme="minorHAnsi" w:hAnsiTheme="minorHAnsi"/>
                <w:sz w:val="18"/>
              </w:rPr>
              <w:t xml:space="preserve">this can be harder to achieve than with some other assessment types, but can be really valuable when done well (e.g. it would have been good for you to have included source ‘x’ </w:t>
            </w:r>
            <w:r w:rsidRPr="005A2826">
              <w:rPr>
                <w:rFonts w:asciiTheme="minorHAnsi" w:hAnsiTheme="minorHAnsi"/>
                <w:i/>
                <w:sz w:val="18"/>
              </w:rPr>
              <w:t>because</w:t>
            </w:r>
            <w:r w:rsidRPr="005A2826">
              <w:rPr>
                <w:rFonts w:asciiTheme="minorHAnsi" w:hAnsiTheme="minorHAnsi"/>
                <w:sz w:val="18"/>
              </w:rPr>
              <w:t xml:space="preserve">...., source ‘y’ was not a good one to include, </w:t>
            </w:r>
            <w:r w:rsidRPr="005A2826">
              <w:rPr>
                <w:rFonts w:asciiTheme="minorHAnsi" w:hAnsiTheme="minorHAnsi"/>
                <w:i/>
                <w:sz w:val="18"/>
              </w:rPr>
              <w:t>because</w:t>
            </w:r>
            <w:r w:rsidRPr="005A2826">
              <w:rPr>
                <w:rFonts w:asciiTheme="minorHAnsi" w:hAnsiTheme="minorHAnsi"/>
                <w:sz w:val="18"/>
              </w:rPr>
              <w:t>...., and so on).</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A really useful way to cause learners to read around a topic, rather than just dip into random sources during their studies.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‘Wikipedia’ (for example) could be allowed to be linked to only one of several required sources.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Learners can be given the opportunity to demonstrate the breadth of their learning (range of sources) as well as depth (their judgemental comments about respective sources).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It can be useful if one of the assessment criteria relates directly to the correct ‘citing’ of each source (e.g. ‘Harvard system’), so that learners gain practice in getting references exactly right, which may be important for future research-related writing.</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 set of annotated bibliographies can be retained as an online resource, to show future cohorts of learners how to do this task, and for these learners to practise making judgements to establish criteria for their own work.</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 ‘300-word annotated bibliography prioritising five sources’ can be far faster to mark than would be an essay where similar literature reviewing was intended – and can be marked much more reliably (fairly) than such an essay.</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 The easiest sources to find tend to be via Google (especially the first page in a search) and Wikipedia, and it may be necessary to prevent learners from making more than limited use of these sources.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Annotated bibliographies essentially require learners to demonstrate their academic literacies, but any lack of relevant information literacies may get in the way of this. </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There is the danger that the extent of sources chosen by learners may mask the depth of thinking about individual sources, therefore it is important not just to get learners listing a lot of sources.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Learners may need some rehearsal before undertaking this sort of task for assessment. For example, a whole-class session could be taken up with learners assessing some past examples of annotated bibliographies, so that they found out how the assessment worked in practice before making their own contributions to the genre.</w:t>
            </w:r>
          </w:p>
        </w:tc>
      </w:tr>
      <w:tr w:rsidR="005A2826" w:rsidRPr="005A2826" w:rsidTr="005A2826">
        <w:tc>
          <w:tcPr>
            <w:tcW w:w="0" w:type="auto"/>
          </w:tcPr>
          <w:p w:rsidR="005A2826" w:rsidRPr="005A2826" w:rsidRDefault="005A2826" w:rsidP="00333514">
            <w:pPr>
              <w:rPr>
                <w:rFonts w:asciiTheme="minorHAnsi" w:hAnsiTheme="minorHAnsi"/>
                <w:b/>
                <w:sz w:val="18"/>
              </w:rPr>
            </w:pPr>
            <w:r w:rsidRPr="005A2826">
              <w:rPr>
                <w:rFonts w:asciiTheme="minorHAnsi" w:hAnsiTheme="minorHAnsi"/>
                <w:b/>
                <w:sz w:val="24"/>
              </w:rPr>
              <w:t>6  Reports</w:t>
            </w:r>
          </w:p>
          <w:p w:rsidR="005A2826" w:rsidRPr="005A2826" w:rsidRDefault="005A2826" w:rsidP="00333514">
            <w:pPr>
              <w:rPr>
                <w:rFonts w:asciiTheme="minorHAnsi" w:hAnsiTheme="minorHAnsi"/>
                <w:sz w:val="18"/>
              </w:rPr>
            </w:pPr>
            <w:r w:rsidRPr="005A2826">
              <w:rPr>
                <w:rFonts w:asciiTheme="minorHAnsi" w:hAnsiTheme="minorHAnsi"/>
                <w:sz w:val="18"/>
              </w:rPr>
              <w:t xml:space="preserve">For example, write-ups of practical work, field work, investigations, and so on. </w:t>
            </w:r>
          </w:p>
          <w:p w:rsidR="005A2826" w:rsidRPr="005A2826" w:rsidRDefault="005A2826" w:rsidP="00333514">
            <w:pPr>
              <w:rPr>
                <w:rFonts w:asciiTheme="minorHAnsi" w:hAnsiTheme="minorHAnsi"/>
                <w:sz w:val="18"/>
              </w:rPr>
            </w:pPr>
            <w:r w:rsidRPr="005A2826">
              <w:rPr>
                <w:rFonts w:asciiTheme="minorHAnsi" w:hAnsiTheme="minorHAnsi"/>
                <w:sz w:val="18"/>
              </w:rPr>
              <w:t>Usually word-processed these days.</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be reasonably high.</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not great, but much better than essays. Can allow room for good candidates to shine.</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can be unsafe, unless other ways of checking, e.g. face-to-face quizzing.</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can be good: report writing relevant to many careers.</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can be useful, but usually comes too late.</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Avoids ‘sudden death’ aspects of assessment, as reports are usually built up over a period of time.</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Assessment can be broken down usefully, such as agreed proportions of marks for ‘Abstract’, ‘Method’, ‘Interpretation of Data’, ‘Conclusions’, ‘Plans for further work’ and so on.</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 xml:space="preserve">Can be on work done collaboratively, but with individual write-up. </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Learners who write-up quickly (before they have forgotten what they actually did) can be advantaged, therefore encouraging good study habits of ‘keeping up’ and ‘avoiding backlogs’.</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Word-limit may need to be controlled strictly, as long-reports would otherwise almost always score more marks than short ones, whereas in the real world a really good short report may be much more useful in practice.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There is the danger that learners can spend more time on writing reports, than is reflected by the marks they carry overall in the bigger picture of assessment.</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Those learners who end up with a backlog of reports may spend far too much time catching up on this backlog at the expense of preparing for summative exams, which may carry much more weight in the overall assessment.</w:t>
            </w:r>
          </w:p>
          <w:p w:rsidR="005A2826" w:rsidRPr="005A2826" w:rsidRDefault="005A2826" w:rsidP="00333514">
            <w:pPr>
              <w:ind w:left="203" w:hanging="203"/>
              <w:rPr>
                <w:rFonts w:asciiTheme="minorHAnsi" w:hAnsiTheme="minorHAnsi"/>
                <w:sz w:val="18"/>
              </w:rPr>
            </w:pPr>
          </w:p>
        </w:tc>
      </w:tr>
    </w:tbl>
    <w:p w:rsidR="00EC63A3" w:rsidRDefault="00EC63A3"/>
    <w:tbl>
      <w:tblPr>
        <w:tblStyle w:val="TableGrid"/>
        <w:tblW w:w="0" w:type="auto"/>
        <w:tblLook w:val="04A0"/>
      </w:tblPr>
      <w:tblGrid>
        <w:gridCol w:w="5448"/>
        <w:gridCol w:w="3124"/>
        <w:gridCol w:w="3218"/>
        <w:gridCol w:w="3824"/>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t>7  Portfolios of evidence</w:t>
            </w:r>
          </w:p>
          <w:p w:rsidR="005A2826" w:rsidRPr="005A2826" w:rsidRDefault="005A2826" w:rsidP="00333514">
            <w:pPr>
              <w:rPr>
                <w:rFonts w:asciiTheme="minorHAnsi" w:hAnsiTheme="minorHAnsi"/>
                <w:sz w:val="18"/>
              </w:rPr>
            </w:pPr>
            <w:r w:rsidRPr="005A2826">
              <w:rPr>
                <w:rFonts w:asciiTheme="minorHAnsi" w:hAnsiTheme="minorHAnsi"/>
                <w:sz w:val="18"/>
              </w:rPr>
              <w:t>For example, built up over a period of time on a course or module, often with intermediate feedback opportunities for learners.</w:t>
            </w:r>
          </w:p>
          <w:p w:rsidR="005A2826" w:rsidRPr="005A2826" w:rsidRDefault="005A2826" w:rsidP="00333514">
            <w:pPr>
              <w:rPr>
                <w:rFonts w:asciiTheme="minorHAnsi" w:hAnsiTheme="minorHAnsi"/>
                <w:sz w:val="18"/>
              </w:rPr>
            </w:pPr>
          </w:p>
          <w:p w:rsidR="005A2826" w:rsidRPr="005A2826" w:rsidRDefault="005A2826" w:rsidP="00333514">
            <w:pPr>
              <w:rPr>
                <w:rFonts w:asciiTheme="minorHAnsi" w:hAnsiTheme="minorHAnsi"/>
                <w:sz w:val="18"/>
              </w:rPr>
            </w:pPr>
            <w:r w:rsidRPr="005A2826">
              <w:rPr>
                <w:rFonts w:asciiTheme="minorHAnsi" w:hAnsiTheme="minorHAnsi"/>
                <w:sz w:val="18"/>
              </w:rPr>
              <w:t>In the present climate of ‘evidence-based practice’, assessment by portfolios is naturally gaining momentum. As can be seen in this table, the ‘status’ aspects (</w:t>
            </w:r>
            <w:proofErr w:type="spellStart"/>
            <w:r w:rsidRPr="005A2826">
              <w:rPr>
                <w:rFonts w:asciiTheme="minorHAnsi" w:hAnsiTheme="minorHAnsi"/>
                <w:sz w:val="18"/>
              </w:rPr>
              <w:t>validty</w:t>
            </w:r>
            <w:proofErr w:type="spellEnd"/>
            <w:r w:rsidRPr="005A2826">
              <w:rPr>
                <w:rFonts w:asciiTheme="minorHAnsi" w:hAnsiTheme="minorHAnsi"/>
                <w:sz w:val="18"/>
              </w:rPr>
              <w:t>, etc.) are favourable, and there are many advantages, but the crunch comes in the disadvantages column – portfolios take a great deal of time to mark, and there are distinct problems regarding fairness of assessment.</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be good, as different elements of a portfolio can relate to each different aspect of evidence of achievement of a range of learning outcomes.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good, but different assessors may be looking for different things in a portfolio, in which case fairness can be poorer.</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can be questionable, but improved where face-to-face probing is also used.</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can be better than many other kinds of assessment, depending on what’s included in the portfolio specification.</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can be good, especially if their progress is reviewed at various times during construction of a portfolio.</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Allows for a wide range of kinds of evidence of achievement, for example drawings, photos, videos, recordings, reviews, reflective commentaries.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extend well beyond the ‘read-write’ domain.</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build in opportunities for learners to reflect on their learning, and provide evidence of such reflection.</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be interdisciplinary, helping learners to link together aspects of different subjects and topics.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Allows candidates to demonstrate originality and creativity.</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Portfolios can be useful evidence to show prospective employers.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Portfolios can be maintained and updated beyond the assessment period.</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take forever to mark a set of portfolios, and they can be very bulky to carry around from one marking place to another (work to home, and so on).</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Can be difficult to balance marks for portfolios evidencing different strengths.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A big portfolio will normally attract higher marks than a small one, so there is a tendency to reward ‘cramming in as much as possible’ rather than quality of evidence.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One of the most significant dangers with such a ‘big’ assessment element is non-completion.</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When portfolio assessment is used, the portfolio may often make up a substantial part of the overall assessment, which can mean for those candidates who are not at their best in this element, assessment is unduly prejudiced against them.</w:t>
            </w:r>
          </w:p>
          <w:p w:rsidR="005A2826" w:rsidRPr="005A2826" w:rsidRDefault="005A2826" w:rsidP="00333514">
            <w:pPr>
              <w:ind w:left="203" w:hanging="203"/>
              <w:rPr>
                <w:rFonts w:asciiTheme="minorHAnsi" w:hAnsiTheme="minorHAnsi"/>
                <w:sz w:val="18"/>
              </w:rPr>
            </w:pPr>
          </w:p>
        </w:tc>
      </w:tr>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t>8  Oral exams</w:t>
            </w:r>
          </w:p>
          <w:p w:rsidR="005A2826" w:rsidRPr="005A2826" w:rsidRDefault="005A2826" w:rsidP="00333514">
            <w:pPr>
              <w:rPr>
                <w:rFonts w:asciiTheme="minorHAnsi" w:hAnsiTheme="minorHAnsi"/>
                <w:sz w:val="18"/>
              </w:rPr>
            </w:pPr>
            <w:r w:rsidRPr="005A2826">
              <w:rPr>
                <w:rFonts w:asciiTheme="minorHAnsi" w:hAnsiTheme="minorHAnsi"/>
                <w:sz w:val="18"/>
              </w:rPr>
              <w:t xml:space="preserve">These are essentially about interrogating individual learners face-to-face, often with two or three assessors present. Sometimes the questions may be about the course or module in general, and/or about a particular submitted element of coursework (for example a portfolio or dissertation). </w:t>
            </w:r>
          </w:p>
          <w:p w:rsidR="005A2826" w:rsidRPr="005A2826" w:rsidRDefault="005A2826" w:rsidP="00333514">
            <w:pPr>
              <w:rPr>
                <w:rFonts w:asciiTheme="minorHAnsi" w:hAnsiTheme="minorHAnsi"/>
                <w:sz w:val="18"/>
              </w:rPr>
            </w:pPr>
            <w:r w:rsidRPr="005A2826">
              <w:rPr>
                <w:rFonts w:asciiTheme="minorHAnsi" w:hAnsiTheme="minorHAnsi"/>
                <w:sz w:val="18"/>
              </w:rPr>
              <w:t>An oral exam does not necessarily have to be lengthy. Even a 5-minute oral exam can be useful to gain assurance about the ‘whodunit?’ aspect of a portfolio or dissertation.</w:t>
            </w:r>
          </w:p>
          <w:p w:rsidR="005A2826" w:rsidRPr="005A2826" w:rsidRDefault="005A2826" w:rsidP="00333514">
            <w:pPr>
              <w:rPr>
                <w:rFonts w:asciiTheme="minorHAnsi" w:hAnsiTheme="minorHAnsi"/>
                <w:sz w:val="18"/>
              </w:rPr>
            </w:pPr>
            <w:r w:rsidRPr="005A2826">
              <w:rPr>
                <w:rFonts w:asciiTheme="minorHAnsi" w:hAnsiTheme="minorHAnsi"/>
                <w:sz w:val="18"/>
              </w:rPr>
              <w:t>(Note that in many parts of the world there is much more oral assessment than written assessment, as was the case in the UK before written exams started in 1791 towards becoming endemic!</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be high, but still can favour candidates who can ‘talk well’ over those who know it just as well but are not so good at ‘talking it’.</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can be good when successive candidates are asked exactly the same questions (but ‘security’ of questions needs to be safeguarded, so they don’t ‘leak’ to later candidates).</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one of the safest kinds of assessment.</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strong links to the sorts of questioning learners will need to be able to handle in most careers.</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can be quick and useful, but also can be stressful and rather transient (e.g. quickly forgotten).</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Allows for probing questions, to test real mastery rather than surface learning.</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Gets over reservations about ‘Whodunit?’!</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Learning payoff during preparation for an oral exam can be wider, deeper and better than (for example) just writing an essay or report, as anything may be asked.</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When learners are encouraged to engage in practice and rehearsal, they can learn a great deal from each other, as well as  improving their skills relating to oral performance.</w:t>
            </w:r>
          </w:p>
          <w:p w:rsidR="005A2826" w:rsidRPr="005A2826" w:rsidRDefault="005A2826" w:rsidP="00333514">
            <w:pPr>
              <w:ind w:left="230" w:hanging="230"/>
              <w:rPr>
                <w:rFonts w:asciiTheme="minorHAnsi" w:hAnsiTheme="minorHAnsi"/>
                <w:sz w:val="18"/>
              </w:rPr>
            </w:pP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Some candidates can be let down by nerves.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With a large class of learners, a round of ‘orals’ can take a lot of time, and ‘the word inevitably gets around’ about the sort of experience it is going to be.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Evidence of achievement as demonstrated orally is somewhat ephemeral, and it can be difficult to think back over several candidates performance and remember accurately who did better or worse.</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It can be difficult to guarantee fairness, when different degrees of probing may have been used with different candidates. </w:t>
            </w:r>
          </w:p>
          <w:p w:rsidR="005A2826" w:rsidRPr="005A2826" w:rsidRDefault="005A2826" w:rsidP="00333514">
            <w:pPr>
              <w:ind w:left="203" w:hanging="203"/>
              <w:rPr>
                <w:rFonts w:asciiTheme="minorHAnsi" w:hAnsiTheme="minorHAnsi"/>
                <w:sz w:val="18"/>
              </w:rPr>
            </w:pPr>
          </w:p>
          <w:p w:rsidR="005A2826" w:rsidRPr="005A2826" w:rsidRDefault="005A2826" w:rsidP="00333514">
            <w:pPr>
              <w:ind w:left="203" w:hanging="203"/>
              <w:rPr>
                <w:rFonts w:asciiTheme="minorHAnsi" w:hAnsiTheme="minorHAnsi"/>
                <w:sz w:val="18"/>
              </w:rPr>
            </w:pPr>
          </w:p>
        </w:tc>
      </w:tr>
    </w:tbl>
    <w:p w:rsidR="00EC63A3" w:rsidRDefault="00EC63A3">
      <w:r>
        <w:br w:type="page"/>
      </w:r>
    </w:p>
    <w:tbl>
      <w:tblPr>
        <w:tblStyle w:val="TableGrid"/>
        <w:tblW w:w="0" w:type="auto"/>
        <w:tblLook w:val="04A0"/>
      </w:tblPr>
      <w:tblGrid>
        <w:gridCol w:w="3489"/>
        <w:gridCol w:w="4407"/>
        <w:gridCol w:w="3765"/>
        <w:gridCol w:w="3953"/>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lastRenderedPageBreak/>
              <w:t>9  Individual presentations</w:t>
            </w:r>
          </w:p>
          <w:p w:rsidR="005A2826" w:rsidRPr="005A2826" w:rsidRDefault="005A2826" w:rsidP="00333514">
            <w:pPr>
              <w:rPr>
                <w:rFonts w:asciiTheme="minorHAnsi" w:hAnsiTheme="minorHAnsi"/>
                <w:sz w:val="18"/>
              </w:rPr>
            </w:pPr>
            <w:r w:rsidRPr="005A2826">
              <w:rPr>
                <w:rFonts w:asciiTheme="minorHAnsi" w:hAnsiTheme="minorHAnsi"/>
                <w:sz w:val="18"/>
              </w:rPr>
              <w:t>Typically, assessed presentations are given before a relatively small group rather than a whole large class, in the presence of a tutor (who assesses) but often some peer-assessment is built in as well.</w:t>
            </w:r>
          </w:p>
          <w:p w:rsidR="005A2826" w:rsidRPr="005A2826" w:rsidRDefault="005A2826" w:rsidP="00333514">
            <w:pPr>
              <w:rPr>
                <w:rFonts w:asciiTheme="minorHAnsi" w:hAnsiTheme="minorHAnsi"/>
                <w:sz w:val="18"/>
              </w:rPr>
            </w:pPr>
            <w:r w:rsidRPr="005A2826">
              <w:rPr>
                <w:rFonts w:asciiTheme="minorHAnsi" w:hAnsiTheme="minorHAnsi"/>
                <w:sz w:val="18"/>
              </w:rPr>
              <w:t>Sometimes presentations are made by groups, but then it is much harder to allocate credit appropriately to individuals, so for assessed presentations, individual performance is preferable.</w:t>
            </w:r>
          </w:p>
          <w:p w:rsidR="005A2826" w:rsidRPr="005A2826" w:rsidRDefault="005A2826" w:rsidP="00333514">
            <w:pPr>
              <w:rPr>
                <w:rFonts w:asciiTheme="minorHAnsi" w:hAnsiTheme="minorHAnsi"/>
                <w:sz w:val="18"/>
              </w:rPr>
            </w:pPr>
            <w:r w:rsidRPr="005A2826">
              <w:rPr>
                <w:rFonts w:asciiTheme="minorHAnsi" w:hAnsiTheme="minorHAnsi"/>
                <w:sz w:val="18"/>
              </w:rPr>
              <w:t>It is useful if the briefing is really clear to learners in advance, including:</w:t>
            </w:r>
          </w:p>
          <w:p w:rsidR="005A2826" w:rsidRPr="005A2826" w:rsidRDefault="005A2826" w:rsidP="005A2826">
            <w:pPr>
              <w:pStyle w:val="ListParagraph"/>
              <w:numPr>
                <w:ilvl w:val="0"/>
                <w:numId w:val="2"/>
              </w:numPr>
              <w:ind w:left="426" w:hanging="284"/>
              <w:contextualSpacing/>
              <w:rPr>
                <w:rFonts w:asciiTheme="minorHAnsi" w:hAnsiTheme="minorHAnsi"/>
                <w:sz w:val="18"/>
              </w:rPr>
            </w:pPr>
            <w:r w:rsidRPr="005A2826">
              <w:rPr>
                <w:rFonts w:asciiTheme="minorHAnsi" w:hAnsiTheme="minorHAnsi"/>
                <w:sz w:val="18"/>
              </w:rPr>
              <w:t>The duration</w:t>
            </w:r>
          </w:p>
          <w:p w:rsidR="005A2826" w:rsidRPr="005A2826" w:rsidRDefault="005A2826" w:rsidP="005A2826">
            <w:pPr>
              <w:pStyle w:val="ListParagraph"/>
              <w:numPr>
                <w:ilvl w:val="0"/>
                <w:numId w:val="2"/>
              </w:numPr>
              <w:ind w:left="426" w:hanging="284"/>
              <w:contextualSpacing/>
              <w:rPr>
                <w:rFonts w:asciiTheme="minorHAnsi" w:hAnsiTheme="minorHAnsi"/>
                <w:sz w:val="18"/>
              </w:rPr>
            </w:pPr>
            <w:r w:rsidRPr="005A2826">
              <w:rPr>
                <w:rFonts w:asciiTheme="minorHAnsi" w:hAnsiTheme="minorHAnsi"/>
                <w:sz w:val="18"/>
              </w:rPr>
              <w:t>A range of topics to choose from – or the chance to choose something original</w:t>
            </w:r>
          </w:p>
          <w:p w:rsidR="005A2826" w:rsidRPr="005A2826" w:rsidRDefault="005A2826" w:rsidP="005A2826">
            <w:pPr>
              <w:pStyle w:val="ListParagraph"/>
              <w:numPr>
                <w:ilvl w:val="0"/>
                <w:numId w:val="2"/>
              </w:numPr>
              <w:ind w:left="426" w:hanging="284"/>
              <w:contextualSpacing/>
              <w:rPr>
                <w:rFonts w:asciiTheme="minorHAnsi" w:hAnsiTheme="minorHAnsi"/>
                <w:sz w:val="18"/>
              </w:rPr>
            </w:pPr>
            <w:r w:rsidRPr="005A2826">
              <w:rPr>
                <w:rFonts w:asciiTheme="minorHAnsi" w:hAnsiTheme="minorHAnsi"/>
                <w:sz w:val="18"/>
              </w:rPr>
              <w:t>Any guidance about supporting materials (e.g. slides, handouts, exhibits).</w:t>
            </w:r>
          </w:p>
          <w:p w:rsidR="005A2826" w:rsidRPr="005A2826" w:rsidRDefault="005A2826" w:rsidP="005A2826">
            <w:pPr>
              <w:pStyle w:val="ListParagraph"/>
              <w:numPr>
                <w:ilvl w:val="0"/>
                <w:numId w:val="2"/>
              </w:numPr>
              <w:ind w:left="426" w:hanging="284"/>
              <w:contextualSpacing/>
              <w:rPr>
                <w:rFonts w:asciiTheme="minorHAnsi" w:hAnsiTheme="minorHAnsi"/>
                <w:sz w:val="18"/>
              </w:rPr>
            </w:pPr>
            <w:r w:rsidRPr="005A2826">
              <w:rPr>
                <w:rFonts w:asciiTheme="minorHAnsi" w:hAnsiTheme="minorHAnsi"/>
                <w:sz w:val="18"/>
              </w:rPr>
              <w:t>The assessment criteria</w:t>
            </w:r>
          </w:p>
          <w:p w:rsidR="005A2826" w:rsidRPr="005A2826" w:rsidRDefault="005A2826" w:rsidP="005A2826">
            <w:pPr>
              <w:pStyle w:val="ListParagraph"/>
              <w:numPr>
                <w:ilvl w:val="0"/>
                <w:numId w:val="2"/>
              </w:numPr>
              <w:ind w:left="426" w:hanging="284"/>
              <w:contextualSpacing/>
              <w:rPr>
                <w:rFonts w:asciiTheme="minorHAnsi" w:hAnsiTheme="minorHAnsi"/>
                <w:sz w:val="18"/>
              </w:rPr>
            </w:pPr>
            <w:r w:rsidRPr="005A2826">
              <w:rPr>
                <w:rFonts w:asciiTheme="minorHAnsi" w:hAnsiTheme="minorHAnsi"/>
                <w:sz w:val="18"/>
              </w:rPr>
              <w:t>The extent of any ‘question and answer’ episode after each presentation.</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be good when learning outcomes include oral communication skills.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it can be difficult to maintain fairness during a set of presentations, as there is a tendency for later candidates to learn from earlier ones, and do better.</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one of the safest forms of assessment.</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high relevance; in many careers candidates will need the skills involved in giving presentations.</w:t>
            </w:r>
          </w:p>
          <w:p w:rsidR="005A2826" w:rsidRPr="005A2826" w:rsidRDefault="005A2826" w:rsidP="00333514">
            <w:pPr>
              <w:rPr>
                <w:rFonts w:asciiTheme="minorHAnsi" w:hAnsiTheme="minorHAnsi"/>
                <w:sz w:val="18"/>
              </w:rPr>
            </w:pPr>
            <w:r w:rsidRPr="005A2826">
              <w:rPr>
                <w:rFonts w:asciiTheme="minorHAnsi" w:hAnsiTheme="minorHAnsi"/>
                <w:b/>
                <w:sz w:val="18"/>
              </w:rPr>
              <w:t>Feedback to learners:</w:t>
            </w:r>
            <w:r w:rsidRPr="005A2826">
              <w:rPr>
                <w:rFonts w:asciiTheme="minorHAnsi" w:hAnsiTheme="minorHAnsi"/>
                <w:sz w:val="18"/>
              </w:rPr>
              <w:t xml:space="preserve"> possible to give quick and useful feedback, but his may be somewhat ephemeral and quickly forgotten. Peer-feedback during rehearsal can however be really valuable.</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Allows oral communication skills to be demonstrated alongside mastery of subject matter.</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allow candidates as much time as they need for preparation and rehearsal.</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Depth of learning tends to be high; learners tend to remember very well things they researched and practised as preparation for a presentation.</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be used in a peer-assessment context, there learners can gain a lot from making informed judgements on each others’ presentations.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allow individual learners to demonstrate particular strengths.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include the opportunity for ‘probing’ to test depth of knowledge, where questions are posed for a few minutes after each presentation.</w:t>
            </w:r>
          </w:p>
          <w:p w:rsidR="005A2826" w:rsidRPr="005A2826" w:rsidRDefault="005A2826" w:rsidP="00333514">
            <w:pPr>
              <w:ind w:left="230" w:hanging="230"/>
              <w:rPr>
                <w:rFonts w:asciiTheme="minorHAnsi" w:hAnsiTheme="minorHAnsi"/>
                <w:sz w:val="18"/>
              </w:rPr>
            </w:pPr>
          </w:p>
          <w:p w:rsidR="005A2826" w:rsidRPr="005A2826" w:rsidRDefault="005A2826" w:rsidP="00333514">
            <w:pPr>
              <w:ind w:left="230" w:hanging="230"/>
              <w:rPr>
                <w:rFonts w:asciiTheme="minorHAnsi" w:hAnsiTheme="minorHAnsi"/>
                <w:sz w:val="18"/>
              </w:rPr>
            </w:pP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take forever to assess a large number of presentations.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Choice of topic can affect marks significantly. What seemed like an interesting and stimulating topic can end up being harder than imagined, and so on.</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There can be some drift in standards, where ‘later’ candidates are judged more rigorously than ‘earlier’ ones, or conversely benefit themselves from seeing earlier presentations.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Some candidates can be unduly disadvantaged by  nerves.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Impression marks associated with the quality of slides or handout materials used during the presentations may overshadow the quality of the actual mastery of the topic concerned.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 xml:space="preserve">It is sometimes difficult to collect evidence to put forward for moderation (for example external examiner scrutiny), though recordings can be made for this purpose. </w:t>
            </w:r>
          </w:p>
        </w:tc>
      </w:tr>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t>10  Posters</w:t>
            </w:r>
          </w:p>
          <w:p w:rsidR="005A2826" w:rsidRPr="005A2826" w:rsidRDefault="005A2826" w:rsidP="00333514">
            <w:pPr>
              <w:rPr>
                <w:rFonts w:asciiTheme="minorHAnsi" w:hAnsiTheme="minorHAnsi"/>
                <w:sz w:val="18"/>
              </w:rPr>
            </w:pPr>
            <w:r w:rsidRPr="005A2826">
              <w:rPr>
                <w:rFonts w:asciiTheme="minorHAnsi" w:hAnsiTheme="minorHAnsi"/>
                <w:sz w:val="18"/>
              </w:rPr>
              <w:t>For example, preparation of a visual display in a specified format, on (e.g.) an A1 sheet, using photos, drawings and text to address a particular brief.</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xml:space="preserve"> can often be high, allowing good links between evidence of achievement and intended learning outcomes.</w:t>
            </w:r>
          </w:p>
          <w:p w:rsidR="005A2826" w:rsidRPr="005A2826" w:rsidRDefault="005A2826" w:rsidP="00333514">
            <w:pPr>
              <w:rPr>
                <w:rFonts w:asciiTheme="minorHAnsi" w:hAnsiTheme="minorHAnsi"/>
                <w:sz w:val="18"/>
              </w:rPr>
            </w:pPr>
            <w:r w:rsidRPr="005A2826">
              <w:rPr>
                <w:rFonts w:asciiTheme="minorHAnsi" w:hAnsiTheme="minorHAnsi"/>
                <w:b/>
                <w:sz w:val="18"/>
              </w:rPr>
              <w:t>Fairness:</w:t>
            </w:r>
            <w:r w:rsidRPr="005A2826">
              <w:rPr>
                <w:rFonts w:asciiTheme="minorHAnsi" w:hAnsiTheme="minorHAnsi"/>
                <w:sz w:val="18"/>
              </w:rPr>
              <w:t xml:space="preserve"> likely to be at least some subjectivity when it comes to judgements, but this can be offset by having multiple judgements (possibly peer-assessment, and assessment by externals).</w:t>
            </w:r>
          </w:p>
          <w:p w:rsidR="005A2826" w:rsidRPr="005A2826" w:rsidRDefault="005A2826" w:rsidP="00333514">
            <w:pPr>
              <w:rPr>
                <w:rFonts w:asciiTheme="minorHAnsi" w:hAnsiTheme="minorHAnsi"/>
                <w:sz w:val="18"/>
              </w:rPr>
            </w:pPr>
            <w:r w:rsidRPr="005A2826">
              <w:rPr>
                <w:rFonts w:asciiTheme="minorHAnsi" w:hAnsiTheme="minorHAnsi"/>
                <w:b/>
                <w:sz w:val="18"/>
              </w:rPr>
              <w:t>Whodunit?:</w:t>
            </w:r>
            <w:r w:rsidRPr="005A2826">
              <w:rPr>
                <w:rFonts w:asciiTheme="minorHAnsi" w:hAnsiTheme="minorHAnsi"/>
                <w:sz w:val="18"/>
              </w:rPr>
              <w:t xml:space="preserve"> questionable, as learners may use varying amounts of external help in producing posters, and may collaborate with each other. The ‘Whodunit?’ aspect can be made much better when the assessment also included learners ‘talking about their poster’ or ‘being questioned about their poster’.</w:t>
            </w:r>
          </w:p>
          <w:p w:rsidR="005A2826" w:rsidRPr="005A2826" w:rsidRDefault="005A2826" w:rsidP="00333514">
            <w:pPr>
              <w:rPr>
                <w:rFonts w:asciiTheme="minorHAnsi" w:hAnsiTheme="minorHAnsi"/>
                <w:sz w:val="18"/>
              </w:rPr>
            </w:pPr>
            <w:r w:rsidRPr="005A2826">
              <w:rPr>
                <w:rFonts w:asciiTheme="minorHAnsi" w:hAnsiTheme="minorHAnsi"/>
                <w:b/>
                <w:sz w:val="18"/>
              </w:rPr>
              <w:t>Real world:</w:t>
            </w:r>
            <w:r w:rsidRPr="005A2826">
              <w:rPr>
                <w:rFonts w:asciiTheme="minorHAnsi" w:hAnsiTheme="minorHAnsi"/>
                <w:sz w:val="18"/>
              </w:rPr>
              <w:t xml:space="preserve"> visual displays are used in many professions, for example to back-up a proposal, or present findings to colleagues.</w:t>
            </w:r>
          </w:p>
          <w:p w:rsidR="005A2826" w:rsidRPr="005A2826" w:rsidRDefault="005A2826" w:rsidP="00333514">
            <w:pPr>
              <w:rPr>
                <w:rFonts w:asciiTheme="minorHAnsi" w:hAnsiTheme="minorHAnsi"/>
                <w:sz w:val="18"/>
              </w:rPr>
            </w:pPr>
            <w:r w:rsidRPr="005A2826">
              <w:rPr>
                <w:rFonts w:asciiTheme="minorHAnsi" w:hAnsiTheme="minorHAnsi"/>
                <w:b/>
                <w:sz w:val="18"/>
              </w:rPr>
              <w:t xml:space="preserve">Feedback to learners: </w:t>
            </w:r>
            <w:r w:rsidRPr="005A2826">
              <w:rPr>
                <w:rFonts w:asciiTheme="minorHAnsi" w:hAnsiTheme="minorHAnsi"/>
                <w:sz w:val="18"/>
              </w:rPr>
              <w:t>can be very effective, especially when tutor and peer-feedback is offered on drafts in class (i.e. nothing ‘secret’) before the preparation of the final submission.</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Can allow learners flexibility in choice, where they have significant control of the topic and the way they present their findings.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Gives room for learners to organise their thinking visually rather than in words alone.</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Exhibitions of posters can be kept online, and used for future learners as indications of the kinds of evidence they may aim to emulate, and (better) for getting future learners to learn by assessing, before they set out to make their own posters.</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be really hard to make relative assessment judgements about different topics handled in different ways to different depths.</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Wealth may come into the picture; learners who can afford good colour printing and photos may be advantaged over those whose resources are more limited.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The visual aspects of the poster can dominate too much when being assessed.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Judgements on visual evidence such as in posters is always to some extent subjective, with different assessors looking for different things in a ‘good’ poster. (This problem can be offset by having several assessors, or including one or more externals in the assessment).</w:t>
            </w:r>
          </w:p>
          <w:p w:rsidR="005A2826" w:rsidRPr="005A2826" w:rsidRDefault="005A2826" w:rsidP="00333514">
            <w:pPr>
              <w:ind w:left="203" w:hanging="203"/>
              <w:rPr>
                <w:rFonts w:asciiTheme="minorHAnsi" w:hAnsiTheme="minorHAnsi"/>
                <w:sz w:val="18"/>
              </w:rPr>
            </w:pPr>
          </w:p>
        </w:tc>
      </w:tr>
    </w:tbl>
    <w:p w:rsidR="00EC63A3" w:rsidRDefault="00EC63A3">
      <w:r>
        <w:br w:type="page"/>
      </w:r>
    </w:p>
    <w:tbl>
      <w:tblPr>
        <w:tblStyle w:val="TableGrid"/>
        <w:tblW w:w="0" w:type="auto"/>
        <w:tblLook w:val="04A0"/>
      </w:tblPr>
      <w:tblGrid>
        <w:gridCol w:w="3533"/>
        <w:gridCol w:w="4067"/>
        <w:gridCol w:w="3961"/>
        <w:gridCol w:w="4053"/>
      </w:tblGrid>
      <w:tr w:rsidR="005A2826" w:rsidRPr="005A2826" w:rsidTr="005A2826">
        <w:tc>
          <w:tcPr>
            <w:tcW w:w="0" w:type="auto"/>
          </w:tcPr>
          <w:p w:rsidR="005A2826" w:rsidRPr="005A2826" w:rsidRDefault="005A2826" w:rsidP="00333514">
            <w:pPr>
              <w:rPr>
                <w:rFonts w:asciiTheme="minorHAnsi" w:hAnsiTheme="minorHAnsi"/>
                <w:b/>
                <w:sz w:val="24"/>
              </w:rPr>
            </w:pPr>
            <w:r w:rsidRPr="005A2826">
              <w:rPr>
                <w:rFonts w:asciiTheme="minorHAnsi" w:hAnsiTheme="minorHAnsi"/>
                <w:b/>
                <w:sz w:val="24"/>
              </w:rPr>
              <w:lastRenderedPageBreak/>
              <w:t>11  Artefacts</w:t>
            </w:r>
          </w:p>
          <w:p w:rsidR="005A2826" w:rsidRPr="005A2826" w:rsidRDefault="005A2826" w:rsidP="00333514">
            <w:pPr>
              <w:rPr>
                <w:rFonts w:asciiTheme="minorHAnsi" w:hAnsiTheme="minorHAnsi"/>
                <w:sz w:val="18"/>
              </w:rPr>
            </w:pPr>
            <w:r w:rsidRPr="005A2826">
              <w:rPr>
                <w:rFonts w:asciiTheme="minorHAnsi" w:hAnsiTheme="minorHAnsi"/>
                <w:sz w:val="18"/>
              </w:rPr>
              <w:t>These can include paintings, designs, models, sculptures, items of metalwork, engineering outputs, teaching materials, plans, accounts, prototypes, furniture, display items and so on.</w:t>
            </w:r>
          </w:p>
        </w:tc>
        <w:tc>
          <w:tcPr>
            <w:tcW w:w="0" w:type="auto"/>
          </w:tcPr>
          <w:p w:rsidR="005A2826" w:rsidRPr="005A2826" w:rsidRDefault="005A2826" w:rsidP="00333514">
            <w:pPr>
              <w:rPr>
                <w:rFonts w:asciiTheme="minorHAnsi" w:hAnsiTheme="minorHAnsi"/>
                <w:sz w:val="18"/>
              </w:rPr>
            </w:pPr>
            <w:r w:rsidRPr="005A2826">
              <w:rPr>
                <w:rFonts w:asciiTheme="minorHAnsi" w:hAnsiTheme="minorHAnsi"/>
                <w:b/>
                <w:sz w:val="18"/>
              </w:rPr>
              <w:t>Validity</w:t>
            </w:r>
            <w:r w:rsidRPr="005A2826">
              <w:rPr>
                <w:rFonts w:asciiTheme="minorHAnsi" w:hAnsiTheme="minorHAnsi"/>
                <w:sz w:val="18"/>
              </w:rPr>
              <w:t>: this can be high, where the intended outcome of a particular curriculum element includes the production of specific items.</w:t>
            </w:r>
          </w:p>
          <w:p w:rsidR="005A2826" w:rsidRPr="005A2826" w:rsidRDefault="005A2826" w:rsidP="00333514">
            <w:pPr>
              <w:rPr>
                <w:rFonts w:asciiTheme="minorHAnsi" w:hAnsiTheme="minorHAnsi"/>
                <w:sz w:val="18"/>
              </w:rPr>
            </w:pPr>
            <w:r w:rsidRPr="005A2826">
              <w:rPr>
                <w:rFonts w:asciiTheme="minorHAnsi" w:hAnsiTheme="minorHAnsi"/>
                <w:b/>
                <w:sz w:val="18"/>
              </w:rPr>
              <w:t xml:space="preserve">Fairness: </w:t>
            </w:r>
            <w:r w:rsidRPr="005A2826">
              <w:rPr>
                <w:rFonts w:asciiTheme="minorHAnsi" w:hAnsiTheme="minorHAnsi"/>
                <w:sz w:val="18"/>
              </w:rPr>
              <w:t>this can be harder to achieve in assessment of artefacts, as originality and creativity are likely to be among the assessment criteria, and therefore there is bound to be at least some subjectivity in the assessment.</w:t>
            </w:r>
          </w:p>
          <w:p w:rsidR="005A2826" w:rsidRPr="005A2826" w:rsidRDefault="005A2826" w:rsidP="00333514">
            <w:pPr>
              <w:rPr>
                <w:rFonts w:asciiTheme="minorHAnsi" w:hAnsiTheme="minorHAnsi"/>
                <w:sz w:val="18"/>
              </w:rPr>
            </w:pPr>
            <w:r w:rsidRPr="005A2826">
              <w:rPr>
                <w:rFonts w:asciiTheme="minorHAnsi" w:hAnsiTheme="minorHAnsi"/>
                <w:b/>
                <w:sz w:val="18"/>
              </w:rPr>
              <w:t xml:space="preserve">Whodunit? </w:t>
            </w:r>
            <w:r w:rsidRPr="005A2826">
              <w:rPr>
                <w:rFonts w:asciiTheme="minorHAnsi" w:hAnsiTheme="minorHAnsi"/>
                <w:sz w:val="18"/>
              </w:rPr>
              <w:t>On this dimension, artefacts are relatively safe, although there remain possibilities for others to have helped in their production.</w:t>
            </w:r>
          </w:p>
          <w:p w:rsidR="005A2826" w:rsidRPr="005A2826" w:rsidRDefault="005A2826" w:rsidP="00333514">
            <w:pPr>
              <w:rPr>
                <w:rFonts w:asciiTheme="minorHAnsi" w:hAnsiTheme="minorHAnsi"/>
                <w:sz w:val="18"/>
              </w:rPr>
            </w:pPr>
            <w:r w:rsidRPr="005A2826">
              <w:rPr>
                <w:rFonts w:asciiTheme="minorHAnsi" w:hAnsiTheme="minorHAnsi"/>
                <w:b/>
                <w:sz w:val="18"/>
              </w:rPr>
              <w:t xml:space="preserve">Real world: </w:t>
            </w:r>
            <w:r w:rsidRPr="005A2826">
              <w:rPr>
                <w:rFonts w:asciiTheme="minorHAnsi" w:hAnsiTheme="minorHAnsi"/>
                <w:sz w:val="18"/>
              </w:rPr>
              <w:t xml:space="preserve">artefacts often link strongly to the sorts of skills which learners need for particular vocations or careers. </w:t>
            </w:r>
          </w:p>
          <w:p w:rsidR="005A2826" w:rsidRPr="005A2826" w:rsidRDefault="005A2826" w:rsidP="00333514">
            <w:pPr>
              <w:rPr>
                <w:rFonts w:asciiTheme="minorHAnsi" w:hAnsiTheme="minorHAnsi"/>
                <w:sz w:val="18"/>
              </w:rPr>
            </w:pPr>
            <w:r w:rsidRPr="005A2826">
              <w:rPr>
                <w:rFonts w:asciiTheme="minorHAnsi" w:hAnsiTheme="minorHAnsi"/>
                <w:b/>
                <w:sz w:val="18"/>
              </w:rPr>
              <w:t xml:space="preserve">Feedback to learners: </w:t>
            </w:r>
            <w:r w:rsidRPr="005A2826">
              <w:rPr>
                <w:rFonts w:asciiTheme="minorHAnsi" w:hAnsiTheme="minorHAnsi"/>
                <w:sz w:val="18"/>
              </w:rPr>
              <w:t>this can be done well, for example by ‘things I like best about this example’ and ‘one suggestion which could have improved this example would have been.....’.</w:t>
            </w:r>
          </w:p>
        </w:tc>
        <w:tc>
          <w:tcPr>
            <w:tcW w:w="0" w:type="auto"/>
          </w:tcPr>
          <w:p w:rsidR="005A2826" w:rsidRPr="005A2826" w:rsidRDefault="005A2826" w:rsidP="00333514">
            <w:pPr>
              <w:ind w:left="230" w:hanging="230"/>
              <w:rPr>
                <w:rFonts w:asciiTheme="minorHAnsi" w:hAnsiTheme="minorHAnsi"/>
                <w:sz w:val="18"/>
              </w:rPr>
            </w:pPr>
            <w:r w:rsidRPr="005A2826">
              <w:rPr>
                <w:rFonts w:asciiTheme="minorHAnsi" w:hAnsiTheme="minorHAnsi"/>
                <w:sz w:val="18"/>
              </w:rPr>
              <w:t>When a course or module involves learners in practical work in workshops or studios, it makes a big difference if the quality of their work there counts towards their overall assessment.</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The competitiveness which is encouraged by some sort of measure of the quality of the things learners make encourages them to put more effort into their practical work.</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Artefacts can be retained by learners after assessment, and can be useful evidence of their achievement to show prospective employers.</w:t>
            </w:r>
          </w:p>
          <w:p w:rsidR="005A2826" w:rsidRPr="005A2826" w:rsidRDefault="005A2826" w:rsidP="00333514">
            <w:pPr>
              <w:ind w:left="230" w:hanging="230"/>
              <w:rPr>
                <w:rFonts w:asciiTheme="minorHAnsi" w:hAnsiTheme="minorHAnsi"/>
                <w:sz w:val="18"/>
              </w:rPr>
            </w:pPr>
            <w:r w:rsidRPr="005A2826">
              <w:rPr>
                <w:rFonts w:asciiTheme="minorHAnsi" w:hAnsiTheme="minorHAnsi"/>
                <w:sz w:val="18"/>
              </w:rPr>
              <w:t>A photographic record of assessed artefacts (or the artefacts themselves if not needed by their creators) can provide the next cohort of learners with valuable targets to aim towards – and exceed.</w:t>
            </w:r>
          </w:p>
        </w:tc>
        <w:tc>
          <w:tcPr>
            <w:tcW w:w="0" w:type="auto"/>
          </w:tcPr>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Where some learners may have benefited from external help in the production of artefacts, the fairness of assessment can be compromised.</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When individuals are to be assessed on the basis of artefacts they produce, collaboration between learners is discouraged, and may deprive them of things they could have learned from and with each other.</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It can sometimes be difficult to work out how much the assessment of artefacts should contribute to the overall assessment of a particular curriculum element.</w:t>
            </w:r>
          </w:p>
          <w:p w:rsidR="005A2826" w:rsidRPr="005A2826" w:rsidRDefault="005A2826" w:rsidP="00333514">
            <w:pPr>
              <w:ind w:left="203" w:hanging="203"/>
              <w:rPr>
                <w:rFonts w:asciiTheme="minorHAnsi" w:hAnsiTheme="minorHAnsi"/>
                <w:sz w:val="18"/>
              </w:rPr>
            </w:pPr>
            <w:r w:rsidRPr="005A2826">
              <w:rPr>
                <w:rFonts w:asciiTheme="minorHAnsi" w:hAnsiTheme="minorHAnsi"/>
                <w:sz w:val="18"/>
              </w:rPr>
              <w:t>Where some learners have special needs which limit how well they can produce particular kinds of artefact, it can be difficult to make ‘reasonable adjustments’ to allow them alternative assessment possibilities.</w:t>
            </w:r>
          </w:p>
        </w:tc>
      </w:tr>
    </w:tbl>
    <w:p w:rsidR="00504BC4" w:rsidRPr="005A2826" w:rsidRDefault="00504BC4" w:rsidP="005A2826">
      <w:pPr>
        <w:pStyle w:val="Title"/>
        <w:rPr>
          <w:rFonts w:asciiTheme="minorHAnsi" w:hAnsiTheme="minorHAnsi"/>
        </w:rPr>
      </w:pPr>
    </w:p>
    <w:sectPr w:rsidR="00504BC4" w:rsidRPr="005A2826" w:rsidSect="00EC63A3">
      <w:pgSz w:w="16838" w:h="11906" w:orient="landscape"/>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13DFA"/>
    <w:multiLevelType w:val="hybridMultilevel"/>
    <w:tmpl w:val="CE0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EE5F8A"/>
    <w:multiLevelType w:val="hybridMultilevel"/>
    <w:tmpl w:val="EBBA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AA3F9E"/>
    <w:rsid w:val="000312DE"/>
    <w:rsid w:val="00052A79"/>
    <w:rsid w:val="0007760A"/>
    <w:rsid w:val="000957E8"/>
    <w:rsid w:val="000A32A9"/>
    <w:rsid w:val="00106DCC"/>
    <w:rsid w:val="00110B42"/>
    <w:rsid w:val="00144A74"/>
    <w:rsid w:val="00152B59"/>
    <w:rsid w:val="00161144"/>
    <w:rsid w:val="00196F94"/>
    <w:rsid w:val="001A4C06"/>
    <w:rsid w:val="001B3EBF"/>
    <w:rsid w:val="001E307B"/>
    <w:rsid w:val="0021284D"/>
    <w:rsid w:val="002241D3"/>
    <w:rsid w:val="0023383D"/>
    <w:rsid w:val="0025392B"/>
    <w:rsid w:val="00260F86"/>
    <w:rsid w:val="00263C1D"/>
    <w:rsid w:val="002A4B6D"/>
    <w:rsid w:val="002B28AE"/>
    <w:rsid w:val="002B6A95"/>
    <w:rsid w:val="002D63B0"/>
    <w:rsid w:val="002E113D"/>
    <w:rsid w:val="00313A1F"/>
    <w:rsid w:val="00385011"/>
    <w:rsid w:val="00391E9B"/>
    <w:rsid w:val="00394F31"/>
    <w:rsid w:val="003B5EA8"/>
    <w:rsid w:val="003C0188"/>
    <w:rsid w:val="003D0899"/>
    <w:rsid w:val="00440DB6"/>
    <w:rsid w:val="00462B12"/>
    <w:rsid w:val="004A3390"/>
    <w:rsid w:val="004B5740"/>
    <w:rsid w:val="004D20CA"/>
    <w:rsid w:val="004E4B40"/>
    <w:rsid w:val="004E6988"/>
    <w:rsid w:val="004F27A6"/>
    <w:rsid w:val="00504BC4"/>
    <w:rsid w:val="00506EA7"/>
    <w:rsid w:val="0051061D"/>
    <w:rsid w:val="00530EEE"/>
    <w:rsid w:val="005545D4"/>
    <w:rsid w:val="0055498E"/>
    <w:rsid w:val="00560B6B"/>
    <w:rsid w:val="0056454F"/>
    <w:rsid w:val="00567934"/>
    <w:rsid w:val="005911E5"/>
    <w:rsid w:val="005A2826"/>
    <w:rsid w:val="005A7423"/>
    <w:rsid w:val="005F35D2"/>
    <w:rsid w:val="00602520"/>
    <w:rsid w:val="00605DED"/>
    <w:rsid w:val="00612F0C"/>
    <w:rsid w:val="00660B58"/>
    <w:rsid w:val="00694F0A"/>
    <w:rsid w:val="006A004B"/>
    <w:rsid w:val="006B7A29"/>
    <w:rsid w:val="006C3F19"/>
    <w:rsid w:val="00736160"/>
    <w:rsid w:val="00754B7F"/>
    <w:rsid w:val="007750EF"/>
    <w:rsid w:val="00797C33"/>
    <w:rsid w:val="007D5695"/>
    <w:rsid w:val="007E002A"/>
    <w:rsid w:val="007E1285"/>
    <w:rsid w:val="00824A24"/>
    <w:rsid w:val="0084762B"/>
    <w:rsid w:val="00871B45"/>
    <w:rsid w:val="00873A32"/>
    <w:rsid w:val="008B0404"/>
    <w:rsid w:val="008E70F1"/>
    <w:rsid w:val="008F3AA8"/>
    <w:rsid w:val="0092461E"/>
    <w:rsid w:val="009450FE"/>
    <w:rsid w:val="00952CDE"/>
    <w:rsid w:val="00956706"/>
    <w:rsid w:val="00964D9A"/>
    <w:rsid w:val="009B0FA3"/>
    <w:rsid w:val="009B6DD9"/>
    <w:rsid w:val="009B6FCF"/>
    <w:rsid w:val="009C6F2A"/>
    <w:rsid w:val="00A11D95"/>
    <w:rsid w:val="00A167B9"/>
    <w:rsid w:val="00A40CE6"/>
    <w:rsid w:val="00A65FDA"/>
    <w:rsid w:val="00A722A9"/>
    <w:rsid w:val="00A828A4"/>
    <w:rsid w:val="00A86952"/>
    <w:rsid w:val="00AA0935"/>
    <w:rsid w:val="00AA3F9E"/>
    <w:rsid w:val="00AD6E5C"/>
    <w:rsid w:val="00AE2140"/>
    <w:rsid w:val="00AF061B"/>
    <w:rsid w:val="00B0365A"/>
    <w:rsid w:val="00B05B7F"/>
    <w:rsid w:val="00B35668"/>
    <w:rsid w:val="00B40629"/>
    <w:rsid w:val="00B51023"/>
    <w:rsid w:val="00B85068"/>
    <w:rsid w:val="00BA01DB"/>
    <w:rsid w:val="00BB3493"/>
    <w:rsid w:val="00BC174F"/>
    <w:rsid w:val="00BE1EB3"/>
    <w:rsid w:val="00C006D0"/>
    <w:rsid w:val="00C018C9"/>
    <w:rsid w:val="00C071AE"/>
    <w:rsid w:val="00C418C1"/>
    <w:rsid w:val="00C50BD6"/>
    <w:rsid w:val="00C845C7"/>
    <w:rsid w:val="00C9058E"/>
    <w:rsid w:val="00CD58B0"/>
    <w:rsid w:val="00CE47C6"/>
    <w:rsid w:val="00CF1520"/>
    <w:rsid w:val="00CF37D8"/>
    <w:rsid w:val="00D0391B"/>
    <w:rsid w:val="00D04893"/>
    <w:rsid w:val="00D07F27"/>
    <w:rsid w:val="00D22760"/>
    <w:rsid w:val="00D571B5"/>
    <w:rsid w:val="00D96F6F"/>
    <w:rsid w:val="00DB419D"/>
    <w:rsid w:val="00DC2BA4"/>
    <w:rsid w:val="00DF1FA5"/>
    <w:rsid w:val="00DF7F32"/>
    <w:rsid w:val="00E069DC"/>
    <w:rsid w:val="00E07DAC"/>
    <w:rsid w:val="00E260D8"/>
    <w:rsid w:val="00E34A1B"/>
    <w:rsid w:val="00E4568D"/>
    <w:rsid w:val="00E53DBE"/>
    <w:rsid w:val="00E752FE"/>
    <w:rsid w:val="00E928A8"/>
    <w:rsid w:val="00EA1312"/>
    <w:rsid w:val="00EA321E"/>
    <w:rsid w:val="00EA5B7C"/>
    <w:rsid w:val="00EA77A3"/>
    <w:rsid w:val="00EC63A3"/>
    <w:rsid w:val="00EF1E2A"/>
    <w:rsid w:val="00F42F3E"/>
    <w:rsid w:val="00F44EA3"/>
    <w:rsid w:val="00F553F0"/>
    <w:rsid w:val="00F61450"/>
    <w:rsid w:val="00F73509"/>
    <w:rsid w:val="00F84D63"/>
    <w:rsid w:val="00FD2C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26"/>
  </w:style>
  <w:style w:type="paragraph" w:styleId="Heading2">
    <w:name w:val="heading 2"/>
    <w:basedOn w:val="Normal"/>
    <w:link w:val="Heading2Char"/>
    <w:uiPriority w:val="99"/>
    <w:qFormat/>
    <w:rsid w:val="005A2826"/>
    <w:pPr>
      <w:spacing w:before="360"/>
      <w:outlineLvl w:val="1"/>
    </w:pPr>
    <w:rPr>
      <w:rFonts w:eastAsia="MS Minch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2826"/>
    <w:rPr>
      <w:rFonts w:eastAsia="MS Mincho"/>
      <w:b/>
      <w:sz w:val="28"/>
    </w:rPr>
  </w:style>
  <w:style w:type="table" w:styleId="TableGrid">
    <w:name w:val="Table Grid"/>
    <w:basedOn w:val="TableNormal"/>
    <w:uiPriority w:val="59"/>
    <w:rsid w:val="005A2826"/>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A2826"/>
    <w:pPr>
      <w:ind w:left="720"/>
    </w:pPr>
  </w:style>
  <w:style w:type="paragraph" w:styleId="Title">
    <w:name w:val="Title"/>
    <w:basedOn w:val="Normal"/>
    <w:next w:val="Normal"/>
    <w:link w:val="TitleChar"/>
    <w:uiPriority w:val="10"/>
    <w:qFormat/>
    <w:rsid w:val="005A28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82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26"/>
  </w:style>
  <w:style w:type="paragraph" w:styleId="Heading2">
    <w:name w:val="heading 2"/>
    <w:basedOn w:val="Normal"/>
    <w:link w:val="Heading2Char"/>
    <w:uiPriority w:val="99"/>
    <w:qFormat/>
    <w:rsid w:val="005A2826"/>
    <w:pPr>
      <w:spacing w:before="360"/>
      <w:outlineLvl w:val="1"/>
    </w:pPr>
    <w:rPr>
      <w:rFonts w:eastAsia="MS Minch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2826"/>
    <w:rPr>
      <w:rFonts w:eastAsia="MS Mincho"/>
      <w:b/>
      <w:sz w:val="28"/>
    </w:rPr>
  </w:style>
  <w:style w:type="table" w:styleId="TableGrid">
    <w:name w:val="Table Grid"/>
    <w:basedOn w:val="TableNormal"/>
    <w:uiPriority w:val="59"/>
    <w:rsid w:val="005A2826"/>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2826"/>
    <w:pPr>
      <w:ind w:left="720"/>
    </w:pPr>
  </w:style>
  <w:style w:type="paragraph" w:styleId="Title">
    <w:name w:val="Title"/>
    <w:basedOn w:val="Normal"/>
    <w:next w:val="Normal"/>
    <w:link w:val="TitleChar"/>
    <w:uiPriority w:val="10"/>
    <w:qFormat/>
    <w:rsid w:val="005A28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8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4361</Words>
  <Characters>24858</Characters>
  <Application>Microsoft Office Word</Application>
  <DocSecurity>0</DocSecurity>
  <Lines>207</Lines>
  <Paragraphs>58</Paragraphs>
  <ScaleCrop>false</ScaleCrop>
  <Company/>
  <LinksUpToDate>false</LinksUpToDate>
  <CharactersWithSpaces>29161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user</cp:lastModifiedBy>
  <cp:revision>3</cp:revision>
  <dcterms:created xsi:type="dcterms:W3CDTF">2014-11-05T10:43:00Z</dcterms:created>
  <dcterms:modified xsi:type="dcterms:W3CDTF">2014-11-05T18:50:00Z</dcterms:modified>
</cp:coreProperties>
</file>