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6AD" w:rsidRPr="004F1193" w:rsidRDefault="005216AD" w:rsidP="004F1193">
      <w:pPr>
        <w:spacing w:line="240" w:lineRule="auto"/>
        <w:rPr>
          <w:b/>
          <w:sz w:val="40"/>
          <w:szCs w:val="40"/>
        </w:rPr>
      </w:pPr>
      <w:r w:rsidRPr="004F1193">
        <w:rPr>
          <w:b/>
          <w:sz w:val="40"/>
          <w:szCs w:val="40"/>
        </w:rPr>
        <w:t xml:space="preserve">Assimilate: Assessing students at Masters level </w:t>
      </w:r>
    </w:p>
    <w:p w:rsidR="005216AD" w:rsidRPr="004F1193" w:rsidRDefault="005216AD" w:rsidP="004F1193">
      <w:pPr>
        <w:spacing w:line="240" w:lineRule="auto"/>
        <w:rPr>
          <w:b/>
          <w:sz w:val="32"/>
          <w:szCs w:val="32"/>
        </w:rPr>
      </w:pPr>
      <w:r w:rsidRPr="004F1193">
        <w:rPr>
          <w:b/>
          <w:sz w:val="32"/>
          <w:szCs w:val="32"/>
        </w:rPr>
        <w:t>A National Teaching Fellowship project led by Sally Brown</w:t>
      </w:r>
    </w:p>
    <w:p w:rsidR="005216AD" w:rsidRPr="004F1193" w:rsidRDefault="005216AD" w:rsidP="004F1193">
      <w:pPr>
        <w:spacing w:line="240" w:lineRule="auto"/>
        <w:rPr>
          <w:b/>
          <w:sz w:val="32"/>
          <w:szCs w:val="32"/>
        </w:rPr>
      </w:pPr>
      <w:r w:rsidRPr="004F1193">
        <w:rPr>
          <w:b/>
          <w:sz w:val="32"/>
          <w:szCs w:val="32"/>
        </w:rPr>
        <w:t>A work pack for refreshing assessment at Masters level</w:t>
      </w:r>
    </w:p>
    <w:p w:rsidR="005216AD" w:rsidRPr="004F1193" w:rsidRDefault="005216AD" w:rsidP="004F1193">
      <w:pPr>
        <w:spacing w:line="240" w:lineRule="auto"/>
        <w:rPr>
          <w:sz w:val="24"/>
          <w:szCs w:val="24"/>
        </w:rPr>
      </w:pPr>
      <w:r w:rsidRPr="004F1193">
        <w:rPr>
          <w:sz w:val="24"/>
          <w:szCs w:val="24"/>
        </w:rPr>
        <w:t>This pack has been designed to help staff in universities and colleges who wish to review</w:t>
      </w:r>
      <w:r w:rsidR="00D92DE2">
        <w:rPr>
          <w:sz w:val="24"/>
          <w:szCs w:val="24"/>
        </w:rPr>
        <w:t xml:space="preserve"> </w:t>
      </w:r>
      <w:r w:rsidRPr="004F1193">
        <w:rPr>
          <w:sz w:val="24"/>
          <w:szCs w:val="24"/>
        </w:rPr>
        <w:t xml:space="preserve">and refresh their assessment practices, using learning from the NTFS 2009-2012 project which explored innovative and authentic Masters level assessment practices. </w:t>
      </w:r>
    </w:p>
    <w:p w:rsidR="005216AD" w:rsidRPr="004F1193" w:rsidRDefault="005216AD" w:rsidP="004F1193">
      <w:pPr>
        <w:spacing w:line="240" w:lineRule="auto"/>
        <w:rPr>
          <w:sz w:val="24"/>
          <w:szCs w:val="24"/>
        </w:rPr>
      </w:pPr>
      <w:r w:rsidRPr="004F1193">
        <w:rPr>
          <w:sz w:val="24"/>
          <w:szCs w:val="24"/>
        </w:rPr>
        <w:t>The work pack is designed to accompany the</w:t>
      </w:r>
      <w:r w:rsidR="00D92DE2">
        <w:rPr>
          <w:sz w:val="24"/>
          <w:szCs w:val="24"/>
        </w:rPr>
        <w:t xml:space="preserve"> </w:t>
      </w:r>
      <w:r w:rsidRPr="004F1193">
        <w:rPr>
          <w:sz w:val="24"/>
          <w:szCs w:val="24"/>
        </w:rPr>
        <w:t xml:space="preserve">Assimilate compendium of case studies and national overviews which provides detailed findings from the project and can be found at </w:t>
      </w:r>
      <w:hyperlink r:id="rId5" w:history="1">
        <w:r w:rsidR="00F0156B" w:rsidRPr="004F1193">
          <w:rPr>
            <w:rStyle w:val="Hyperlink"/>
            <w:sz w:val="24"/>
            <w:szCs w:val="24"/>
          </w:rPr>
          <w:t>http://sally-brown.net/wp-content/uploads/downloads/2012/09/120829_8791_AssmilateProjectCompendium_WEB.pdf</w:t>
        </w:r>
      </w:hyperlink>
    </w:p>
    <w:p w:rsidR="00F0156B" w:rsidRDefault="00F0156B" w:rsidP="004F1193">
      <w:pPr>
        <w:spacing w:line="240" w:lineRule="auto"/>
        <w:rPr>
          <w:sz w:val="24"/>
          <w:szCs w:val="24"/>
        </w:rPr>
      </w:pPr>
      <w:r w:rsidRPr="004F1193">
        <w:rPr>
          <w:sz w:val="24"/>
          <w:szCs w:val="24"/>
        </w:rPr>
        <w:t>Course and programme teams are invited to use this set of questions to explore how to enhance assessment approaches and methods</w:t>
      </w:r>
      <w:r w:rsidR="00D92DE2">
        <w:rPr>
          <w:sz w:val="24"/>
          <w:szCs w:val="24"/>
        </w:rPr>
        <w:t xml:space="preserve"> </w:t>
      </w:r>
      <w:r w:rsidRPr="004F1193">
        <w:rPr>
          <w:sz w:val="24"/>
          <w:szCs w:val="24"/>
        </w:rPr>
        <w:t>on your own Masters programmes.</w:t>
      </w:r>
      <w:r w:rsidR="001A55AF" w:rsidRPr="004F1193">
        <w:rPr>
          <w:sz w:val="24"/>
          <w:szCs w:val="24"/>
        </w:rPr>
        <w:t xml:space="preserve"> The questions are based both on the outcomes of the Assimilate project and relevant literature in the field, selected elements</w:t>
      </w:r>
      <w:r w:rsidR="00D92DE2">
        <w:rPr>
          <w:sz w:val="24"/>
          <w:szCs w:val="24"/>
        </w:rPr>
        <w:t xml:space="preserve"> </w:t>
      </w:r>
      <w:r w:rsidR="001A55AF" w:rsidRPr="004F1193">
        <w:rPr>
          <w:sz w:val="24"/>
          <w:szCs w:val="24"/>
        </w:rPr>
        <w:t>of which is</w:t>
      </w:r>
      <w:r w:rsidR="00D92DE2">
        <w:rPr>
          <w:sz w:val="24"/>
          <w:szCs w:val="24"/>
        </w:rPr>
        <w:t xml:space="preserve"> </w:t>
      </w:r>
      <w:r w:rsidR="001A55AF" w:rsidRPr="004F1193">
        <w:rPr>
          <w:sz w:val="24"/>
          <w:szCs w:val="24"/>
        </w:rPr>
        <w:t>provided in the references at the end of the work pack.</w:t>
      </w:r>
    </w:p>
    <w:tbl>
      <w:tblPr>
        <w:tblStyle w:val="TableGrid"/>
        <w:tblW w:w="15168" w:type="dxa"/>
        <w:tblInd w:w="108" w:type="dxa"/>
        <w:tblLook w:val="04A0"/>
      </w:tblPr>
      <w:tblGrid>
        <w:gridCol w:w="567"/>
        <w:gridCol w:w="7088"/>
        <w:gridCol w:w="709"/>
        <w:gridCol w:w="708"/>
        <w:gridCol w:w="709"/>
        <w:gridCol w:w="709"/>
        <w:gridCol w:w="4678"/>
      </w:tblGrid>
      <w:tr w:rsidR="0002527B" w:rsidTr="00524FB7">
        <w:trPr>
          <w:tblHeader/>
        </w:trPr>
        <w:tc>
          <w:tcPr>
            <w:tcW w:w="567" w:type="dxa"/>
          </w:tcPr>
          <w:p w:rsidR="0002527B" w:rsidRPr="0002527B" w:rsidRDefault="0002527B" w:rsidP="00DE23A7">
            <w:pPr>
              <w:pStyle w:val="ListParagraph"/>
              <w:rPr>
                <w:b/>
                <w:sz w:val="24"/>
                <w:szCs w:val="24"/>
              </w:rPr>
            </w:pPr>
          </w:p>
        </w:tc>
        <w:tc>
          <w:tcPr>
            <w:tcW w:w="7088" w:type="dxa"/>
          </w:tcPr>
          <w:p w:rsidR="0002527B" w:rsidRPr="0002527B" w:rsidRDefault="0002527B" w:rsidP="0002527B">
            <w:pPr>
              <w:rPr>
                <w:b/>
                <w:sz w:val="24"/>
                <w:szCs w:val="24"/>
              </w:rPr>
            </w:pPr>
            <w:r>
              <w:rPr>
                <w:b/>
                <w:sz w:val="24"/>
                <w:szCs w:val="24"/>
              </w:rPr>
              <w:t>Questions</w:t>
            </w:r>
          </w:p>
        </w:tc>
        <w:tc>
          <w:tcPr>
            <w:tcW w:w="709" w:type="dxa"/>
          </w:tcPr>
          <w:p w:rsidR="0002527B" w:rsidRPr="0002527B" w:rsidRDefault="0002527B" w:rsidP="004F1193">
            <w:pPr>
              <w:rPr>
                <w:b/>
                <w:sz w:val="24"/>
                <w:szCs w:val="24"/>
              </w:rPr>
            </w:pPr>
            <w:r w:rsidRPr="0002527B">
              <w:rPr>
                <w:b/>
                <w:sz w:val="24"/>
                <w:szCs w:val="24"/>
              </w:rPr>
              <w:t>A lot</w:t>
            </w:r>
          </w:p>
        </w:tc>
        <w:tc>
          <w:tcPr>
            <w:tcW w:w="708" w:type="dxa"/>
          </w:tcPr>
          <w:p w:rsidR="0002527B" w:rsidRPr="0002527B" w:rsidRDefault="0002527B" w:rsidP="004F1193">
            <w:pPr>
              <w:rPr>
                <w:b/>
                <w:sz w:val="24"/>
                <w:szCs w:val="24"/>
              </w:rPr>
            </w:pPr>
            <w:r w:rsidRPr="0002527B">
              <w:rPr>
                <w:b/>
                <w:sz w:val="24"/>
                <w:szCs w:val="24"/>
              </w:rPr>
              <w:t>A bit</w:t>
            </w:r>
          </w:p>
        </w:tc>
        <w:tc>
          <w:tcPr>
            <w:tcW w:w="709" w:type="dxa"/>
          </w:tcPr>
          <w:p w:rsidR="0002527B" w:rsidRPr="0002527B" w:rsidRDefault="0002527B" w:rsidP="004F1193">
            <w:pPr>
              <w:rPr>
                <w:b/>
                <w:sz w:val="24"/>
                <w:szCs w:val="24"/>
              </w:rPr>
            </w:pPr>
            <w:r w:rsidRPr="0002527B">
              <w:rPr>
                <w:b/>
                <w:sz w:val="24"/>
                <w:szCs w:val="24"/>
              </w:rPr>
              <w:t>Not at all</w:t>
            </w:r>
          </w:p>
        </w:tc>
        <w:tc>
          <w:tcPr>
            <w:tcW w:w="709" w:type="dxa"/>
          </w:tcPr>
          <w:p w:rsidR="0002527B" w:rsidRPr="0002527B" w:rsidRDefault="0002527B" w:rsidP="004F1193">
            <w:pPr>
              <w:rPr>
                <w:b/>
                <w:sz w:val="24"/>
                <w:szCs w:val="24"/>
              </w:rPr>
            </w:pPr>
            <w:r w:rsidRPr="0002527B">
              <w:rPr>
                <w:b/>
                <w:sz w:val="24"/>
                <w:szCs w:val="24"/>
              </w:rPr>
              <w:t>N/A</w:t>
            </w:r>
          </w:p>
        </w:tc>
        <w:tc>
          <w:tcPr>
            <w:tcW w:w="4678" w:type="dxa"/>
          </w:tcPr>
          <w:p w:rsidR="0002527B" w:rsidRPr="0002527B" w:rsidRDefault="0002527B" w:rsidP="004F1193">
            <w:pPr>
              <w:rPr>
                <w:b/>
                <w:sz w:val="24"/>
                <w:szCs w:val="24"/>
              </w:rPr>
            </w:pPr>
            <w:r w:rsidRPr="0002527B">
              <w:rPr>
                <w:b/>
                <w:sz w:val="24"/>
                <w:szCs w:val="24"/>
              </w:rPr>
              <w:t>Comments and actions</w:t>
            </w:r>
          </w:p>
        </w:tc>
      </w:tr>
      <w:tr w:rsidR="0002527B" w:rsidTr="00524FB7">
        <w:tc>
          <w:tcPr>
            <w:tcW w:w="567" w:type="dxa"/>
          </w:tcPr>
          <w:p w:rsidR="0002527B" w:rsidRPr="004F1193" w:rsidRDefault="0002527B" w:rsidP="0002527B">
            <w:pPr>
              <w:pStyle w:val="ListParagraph"/>
              <w:numPr>
                <w:ilvl w:val="0"/>
                <w:numId w:val="1"/>
              </w:numPr>
              <w:rPr>
                <w:b/>
                <w:sz w:val="24"/>
                <w:szCs w:val="24"/>
              </w:rPr>
            </w:pPr>
          </w:p>
        </w:tc>
        <w:tc>
          <w:tcPr>
            <w:tcW w:w="7088" w:type="dxa"/>
          </w:tcPr>
          <w:p w:rsidR="0002527B" w:rsidRPr="0002527B" w:rsidRDefault="0002527B" w:rsidP="00DE23A7">
            <w:pPr>
              <w:rPr>
                <w:b/>
                <w:sz w:val="24"/>
                <w:szCs w:val="24"/>
              </w:rPr>
            </w:pPr>
            <w:r w:rsidRPr="0002527B">
              <w:rPr>
                <w:b/>
                <w:sz w:val="24"/>
                <w:szCs w:val="24"/>
              </w:rPr>
              <w:t>Induction</w:t>
            </w:r>
          </w:p>
          <w:p w:rsidR="0002527B" w:rsidRPr="00461669" w:rsidRDefault="0002527B" w:rsidP="00D92DE2">
            <w:pPr>
              <w:rPr>
                <w:b/>
                <w:sz w:val="24"/>
                <w:szCs w:val="24"/>
              </w:rPr>
            </w:pPr>
            <w:r w:rsidRPr="00461669">
              <w:rPr>
                <w:b/>
                <w:sz w:val="24"/>
                <w:szCs w:val="24"/>
              </w:rPr>
              <w:t>To what extent</w:t>
            </w:r>
            <w:r w:rsidR="00D92DE2" w:rsidRPr="00461669">
              <w:rPr>
                <w:b/>
                <w:sz w:val="24"/>
                <w:szCs w:val="24"/>
              </w:rPr>
              <w:t xml:space="preserve"> </w:t>
            </w:r>
            <w:r w:rsidRPr="00461669">
              <w:rPr>
                <w:b/>
                <w:sz w:val="24"/>
                <w:szCs w:val="24"/>
              </w:rPr>
              <w:t>do you:</w:t>
            </w:r>
          </w:p>
          <w:p w:rsidR="0002527B" w:rsidRDefault="0002527B" w:rsidP="001950A8">
            <w:pPr>
              <w:pStyle w:val="ListParagraph"/>
              <w:numPr>
                <w:ilvl w:val="0"/>
                <w:numId w:val="2"/>
              </w:numPr>
              <w:rPr>
                <w:sz w:val="24"/>
                <w:szCs w:val="24"/>
              </w:rPr>
            </w:pPr>
            <w:r w:rsidRPr="004F1193">
              <w:rPr>
                <w:sz w:val="24"/>
                <w:szCs w:val="24"/>
              </w:rPr>
              <w:t>provide advice and guidance prior to admissions</w:t>
            </w:r>
            <w:r w:rsidR="00D92DE2">
              <w:rPr>
                <w:sz w:val="24"/>
                <w:szCs w:val="24"/>
              </w:rPr>
              <w:t xml:space="preserve"> </w:t>
            </w:r>
            <w:r w:rsidRPr="004F1193">
              <w:rPr>
                <w:sz w:val="24"/>
                <w:szCs w:val="24"/>
              </w:rPr>
              <w:t>and from the outset of the programme about what kinds of assessment methods and approaches you use on your courses?</w:t>
            </w:r>
          </w:p>
          <w:p w:rsidR="0002527B" w:rsidRPr="004F1193" w:rsidRDefault="0002527B" w:rsidP="0002527B">
            <w:pPr>
              <w:pStyle w:val="ListParagraph"/>
              <w:rPr>
                <w:sz w:val="24"/>
                <w:szCs w:val="24"/>
              </w:rPr>
            </w:pPr>
          </w:p>
          <w:p w:rsidR="0002527B" w:rsidRDefault="0002527B" w:rsidP="001950A8">
            <w:pPr>
              <w:pStyle w:val="ListParagraph"/>
              <w:numPr>
                <w:ilvl w:val="0"/>
                <w:numId w:val="2"/>
              </w:numPr>
              <w:rPr>
                <w:sz w:val="24"/>
                <w:szCs w:val="24"/>
              </w:rPr>
            </w:pPr>
            <w:r w:rsidRPr="004F1193">
              <w:rPr>
                <w:sz w:val="24"/>
                <w:szCs w:val="24"/>
              </w:rPr>
              <w:t>Enable students to see, handle and ask questions about examples of assessment outputs (for example dissertations, projects, case studies) produced by students who have undertaken the course previously?</w:t>
            </w:r>
          </w:p>
          <w:p w:rsidR="0002527B" w:rsidRPr="0002527B" w:rsidRDefault="0002527B" w:rsidP="0002527B">
            <w:pPr>
              <w:rPr>
                <w:sz w:val="24"/>
                <w:szCs w:val="24"/>
              </w:rPr>
            </w:pPr>
          </w:p>
          <w:p w:rsidR="0002527B" w:rsidRDefault="0002527B" w:rsidP="001950A8">
            <w:pPr>
              <w:pStyle w:val="ListParagraph"/>
              <w:numPr>
                <w:ilvl w:val="0"/>
                <w:numId w:val="2"/>
              </w:numPr>
              <w:rPr>
                <w:sz w:val="24"/>
                <w:szCs w:val="24"/>
              </w:rPr>
            </w:pPr>
            <w:r w:rsidRPr="004F1193">
              <w:rPr>
                <w:sz w:val="24"/>
                <w:szCs w:val="24"/>
              </w:rPr>
              <w:t>Foster your students’ assessment literacy, so that they demonstrate understanding of criteria, weightings and threshold-level achievements for each required activity?</w:t>
            </w:r>
          </w:p>
          <w:p w:rsidR="00D92DE2" w:rsidRPr="00D92DE2" w:rsidRDefault="00D92DE2" w:rsidP="00D92DE2">
            <w:pPr>
              <w:pStyle w:val="ListParagraph"/>
              <w:rPr>
                <w:sz w:val="24"/>
                <w:szCs w:val="24"/>
              </w:rPr>
            </w:pPr>
          </w:p>
          <w:p w:rsidR="00D92DE2" w:rsidRPr="004F1193" w:rsidRDefault="00D92DE2" w:rsidP="00D92DE2">
            <w:pPr>
              <w:pStyle w:val="ListParagraph"/>
              <w:rPr>
                <w:sz w:val="24"/>
                <w:szCs w:val="24"/>
              </w:rPr>
            </w:pPr>
          </w:p>
          <w:p w:rsidR="0002527B" w:rsidRDefault="0002527B" w:rsidP="004F1193">
            <w:pPr>
              <w:rPr>
                <w:sz w:val="24"/>
                <w:szCs w:val="24"/>
              </w:rPr>
            </w:pPr>
          </w:p>
        </w:tc>
        <w:tc>
          <w:tcPr>
            <w:tcW w:w="709" w:type="dxa"/>
          </w:tcPr>
          <w:p w:rsidR="0002527B" w:rsidRDefault="0002527B" w:rsidP="004F1193">
            <w:pPr>
              <w:rPr>
                <w:sz w:val="24"/>
                <w:szCs w:val="24"/>
              </w:rPr>
            </w:pPr>
          </w:p>
        </w:tc>
        <w:tc>
          <w:tcPr>
            <w:tcW w:w="708" w:type="dxa"/>
          </w:tcPr>
          <w:p w:rsidR="0002527B" w:rsidRDefault="0002527B" w:rsidP="004F1193">
            <w:pPr>
              <w:rPr>
                <w:sz w:val="24"/>
                <w:szCs w:val="24"/>
              </w:rPr>
            </w:pPr>
          </w:p>
        </w:tc>
        <w:tc>
          <w:tcPr>
            <w:tcW w:w="709" w:type="dxa"/>
          </w:tcPr>
          <w:p w:rsidR="0002527B" w:rsidRDefault="0002527B" w:rsidP="004F1193">
            <w:pPr>
              <w:rPr>
                <w:sz w:val="24"/>
                <w:szCs w:val="24"/>
              </w:rPr>
            </w:pPr>
          </w:p>
        </w:tc>
        <w:tc>
          <w:tcPr>
            <w:tcW w:w="709" w:type="dxa"/>
          </w:tcPr>
          <w:p w:rsidR="0002527B" w:rsidRDefault="0002527B" w:rsidP="004F1193">
            <w:pPr>
              <w:rPr>
                <w:sz w:val="24"/>
                <w:szCs w:val="24"/>
              </w:rPr>
            </w:pPr>
          </w:p>
        </w:tc>
        <w:tc>
          <w:tcPr>
            <w:tcW w:w="4678" w:type="dxa"/>
          </w:tcPr>
          <w:p w:rsidR="0002527B" w:rsidRDefault="0002527B" w:rsidP="004F1193">
            <w:pPr>
              <w:rPr>
                <w:sz w:val="24"/>
                <w:szCs w:val="24"/>
              </w:rPr>
            </w:pPr>
          </w:p>
        </w:tc>
      </w:tr>
      <w:tr w:rsidR="0002527B" w:rsidTr="00524FB7">
        <w:tc>
          <w:tcPr>
            <w:tcW w:w="567" w:type="dxa"/>
          </w:tcPr>
          <w:p w:rsidR="0002527B" w:rsidRPr="004F1193" w:rsidRDefault="0002527B" w:rsidP="0002527B">
            <w:pPr>
              <w:pStyle w:val="ListParagraph"/>
              <w:numPr>
                <w:ilvl w:val="0"/>
                <w:numId w:val="1"/>
              </w:numPr>
              <w:rPr>
                <w:b/>
                <w:sz w:val="24"/>
                <w:szCs w:val="24"/>
              </w:rPr>
            </w:pPr>
          </w:p>
        </w:tc>
        <w:tc>
          <w:tcPr>
            <w:tcW w:w="7088" w:type="dxa"/>
          </w:tcPr>
          <w:p w:rsidR="0002527B" w:rsidRPr="00DE23A7" w:rsidRDefault="0002527B" w:rsidP="00DE23A7">
            <w:pPr>
              <w:rPr>
                <w:b/>
                <w:sz w:val="24"/>
                <w:szCs w:val="24"/>
              </w:rPr>
            </w:pPr>
            <w:r w:rsidRPr="00DE23A7">
              <w:rPr>
                <w:b/>
                <w:sz w:val="24"/>
                <w:szCs w:val="24"/>
              </w:rPr>
              <w:t>Authenticity.</w:t>
            </w:r>
            <w:r w:rsidR="00D92DE2">
              <w:rPr>
                <w:b/>
                <w:sz w:val="24"/>
                <w:szCs w:val="24"/>
              </w:rPr>
              <w:t xml:space="preserve"> </w:t>
            </w:r>
            <w:r w:rsidRPr="00DE23A7">
              <w:rPr>
                <w:sz w:val="24"/>
                <w:szCs w:val="24"/>
              </w:rPr>
              <w:t>See</w:t>
            </w:r>
            <w:r w:rsidRPr="00DE23A7">
              <w:rPr>
                <w:b/>
                <w:sz w:val="24"/>
                <w:szCs w:val="24"/>
              </w:rPr>
              <w:t xml:space="preserve"> </w:t>
            </w:r>
            <w:r w:rsidRPr="00DE23A7">
              <w:rPr>
                <w:sz w:val="24"/>
                <w:szCs w:val="24"/>
              </w:rPr>
              <w:t>case studies 1, 4, 5, 6, 7, 8, 9,10, 11, 12, 14, 15, 16, 17, 18, 19, 20, 21, 22, 23, 24, 25, 26, 27, 28, 29,30, 32, 33, 34, 35, 36, 38, 39 40, 41</w:t>
            </w:r>
          </w:p>
          <w:p w:rsidR="0002527B" w:rsidRPr="00461669" w:rsidRDefault="0002527B" w:rsidP="00D92DE2">
            <w:pPr>
              <w:rPr>
                <w:b/>
                <w:sz w:val="24"/>
                <w:szCs w:val="24"/>
              </w:rPr>
            </w:pPr>
            <w:r w:rsidRPr="00461669">
              <w:rPr>
                <w:b/>
                <w:sz w:val="24"/>
                <w:szCs w:val="24"/>
              </w:rPr>
              <w:t>To what extent</w:t>
            </w:r>
            <w:r w:rsidR="00D92DE2" w:rsidRPr="00461669">
              <w:rPr>
                <w:b/>
                <w:sz w:val="24"/>
                <w:szCs w:val="24"/>
              </w:rPr>
              <w:t xml:space="preserve"> </w:t>
            </w:r>
            <w:r w:rsidRPr="00461669">
              <w:rPr>
                <w:b/>
                <w:sz w:val="24"/>
                <w:szCs w:val="24"/>
              </w:rPr>
              <w:t>do you:</w:t>
            </w:r>
          </w:p>
          <w:p w:rsidR="0002527B" w:rsidRDefault="0002527B" w:rsidP="0002527B">
            <w:pPr>
              <w:pStyle w:val="ListParagraph"/>
              <w:numPr>
                <w:ilvl w:val="0"/>
                <w:numId w:val="4"/>
              </w:numPr>
              <w:rPr>
                <w:sz w:val="24"/>
                <w:szCs w:val="24"/>
              </w:rPr>
            </w:pPr>
            <w:r w:rsidRPr="004F1193">
              <w:rPr>
                <w:sz w:val="24"/>
                <w:szCs w:val="24"/>
              </w:rPr>
              <w:t>set assignments that link directly with the kind of work your students will be engaged with n completion of the Masters programme?</w:t>
            </w:r>
          </w:p>
          <w:p w:rsidR="0002527B" w:rsidRPr="0002527B" w:rsidRDefault="0002527B" w:rsidP="0002527B">
            <w:pPr>
              <w:ind w:left="710"/>
              <w:rPr>
                <w:sz w:val="24"/>
                <w:szCs w:val="24"/>
              </w:rPr>
            </w:pPr>
          </w:p>
          <w:p w:rsidR="0002527B" w:rsidRDefault="0002527B" w:rsidP="0002527B">
            <w:pPr>
              <w:pStyle w:val="ListParagraph"/>
              <w:numPr>
                <w:ilvl w:val="0"/>
                <w:numId w:val="4"/>
              </w:numPr>
              <w:rPr>
                <w:sz w:val="24"/>
                <w:szCs w:val="24"/>
              </w:rPr>
            </w:pPr>
            <w:r w:rsidRPr="004F1193">
              <w:rPr>
                <w:sz w:val="24"/>
                <w:szCs w:val="24"/>
              </w:rPr>
              <w:t>Make the most of live learning environments for your assignments?</w:t>
            </w:r>
          </w:p>
          <w:p w:rsidR="0002527B" w:rsidRPr="0002527B" w:rsidRDefault="0002527B" w:rsidP="0002527B">
            <w:pPr>
              <w:rPr>
                <w:sz w:val="24"/>
                <w:szCs w:val="24"/>
              </w:rPr>
            </w:pPr>
          </w:p>
          <w:p w:rsidR="0002527B" w:rsidRPr="004F1193" w:rsidRDefault="0002527B" w:rsidP="0002527B">
            <w:pPr>
              <w:pStyle w:val="ListParagraph"/>
              <w:numPr>
                <w:ilvl w:val="0"/>
                <w:numId w:val="4"/>
              </w:numPr>
              <w:rPr>
                <w:sz w:val="24"/>
                <w:szCs w:val="24"/>
              </w:rPr>
            </w:pPr>
            <w:r w:rsidRPr="004F1193">
              <w:rPr>
                <w:sz w:val="24"/>
                <w:szCs w:val="24"/>
              </w:rPr>
              <w:t>Ensure that assessment tasks constructively align with learning outcomes?</w:t>
            </w:r>
          </w:p>
          <w:p w:rsidR="0002527B" w:rsidRDefault="0002527B" w:rsidP="004F1193">
            <w:pPr>
              <w:rPr>
                <w:sz w:val="24"/>
                <w:szCs w:val="24"/>
              </w:rPr>
            </w:pPr>
          </w:p>
        </w:tc>
        <w:tc>
          <w:tcPr>
            <w:tcW w:w="709" w:type="dxa"/>
          </w:tcPr>
          <w:p w:rsidR="0002527B" w:rsidRDefault="0002527B" w:rsidP="004F1193">
            <w:pPr>
              <w:rPr>
                <w:sz w:val="24"/>
                <w:szCs w:val="24"/>
              </w:rPr>
            </w:pPr>
          </w:p>
        </w:tc>
        <w:tc>
          <w:tcPr>
            <w:tcW w:w="708" w:type="dxa"/>
          </w:tcPr>
          <w:p w:rsidR="0002527B" w:rsidRDefault="0002527B" w:rsidP="004F1193">
            <w:pPr>
              <w:rPr>
                <w:sz w:val="24"/>
                <w:szCs w:val="24"/>
              </w:rPr>
            </w:pPr>
          </w:p>
        </w:tc>
        <w:tc>
          <w:tcPr>
            <w:tcW w:w="709" w:type="dxa"/>
          </w:tcPr>
          <w:p w:rsidR="0002527B" w:rsidRDefault="0002527B" w:rsidP="004F1193">
            <w:pPr>
              <w:rPr>
                <w:sz w:val="24"/>
                <w:szCs w:val="24"/>
              </w:rPr>
            </w:pPr>
          </w:p>
        </w:tc>
        <w:tc>
          <w:tcPr>
            <w:tcW w:w="709" w:type="dxa"/>
          </w:tcPr>
          <w:p w:rsidR="0002527B" w:rsidRDefault="0002527B" w:rsidP="004F1193">
            <w:pPr>
              <w:rPr>
                <w:sz w:val="24"/>
                <w:szCs w:val="24"/>
              </w:rPr>
            </w:pPr>
          </w:p>
        </w:tc>
        <w:tc>
          <w:tcPr>
            <w:tcW w:w="4678" w:type="dxa"/>
          </w:tcPr>
          <w:p w:rsidR="0002527B" w:rsidRDefault="0002527B" w:rsidP="004F1193">
            <w:pPr>
              <w:rPr>
                <w:sz w:val="24"/>
                <w:szCs w:val="24"/>
              </w:rPr>
            </w:pPr>
          </w:p>
        </w:tc>
      </w:tr>
      <w:tr w:rsidR="0002527B" w:rsidTr="00524FB7">
        <w:tc>
          <w:tcPr>
            <w:tcW w:w="567" w:type="dxa"/>
          </w:tcPr>
          <w:p w:rsidR="0002527B" w:rsidRPr="004F1193" w:rsidRDefault="0002527B" w:rsidP="0002527B">
            <w:pPr>
              <w:pStyle w:val="ListParagraph"/>
              <w:numPr>
                <w:ilvl w:val="0"/>
                <w:numId w:val="1"/>
              </w:numPr>
              <w:rPr>
                <w:b/>
                <w:sz w:val="24"/>
                <w:szCs w:val="24"/>
              </w:rPr>
            </w:pPr>
          </w:p>
        </w:tc>
        <w:tc>
          <w:tcPr>
            <w:tcW w:w="7088" w:type="dxa"/>
          </w:tcPr>
          <w:p w:rsidR="0002527B" w:rsidRPr="00DE23A7" w:rsidRDefault="0002527B" w:rsidP="00DE23A7">
            <w:pPr>
              <w:rPr>
                <w:sz w:val="24"/>
                <w:szCs w:val="24"/>
              </w:rPr>
            </w:pPr>
            <w:r w:rsidRPr="00DE23A7">
              <w:rPr>
                <w:b/>
                <w:sz w:val="24"/>
                <w:szCs w:val="24"/>
              </w:rPr>
              <w:t xml:space="preserve">Multiple assessment opportunities. </w:t>
            </w:r>
            <w:r w:rsidRPr="00DE23A7">
              <w:rPr>
                <w:sz w:val="24"/>
                <w:szCs w:val="24"/>
              </w:rPr>
              <w:t>See case studies 1,2,5, 6, 8, 9, 11, 12, 14, 15, 17, 19, 22, 23, 24, 25, 26, 27, 29, 30, 31, 32, 34, 36, 37, 38, 39, 41, 42, 43, 44</w:t>
            </w:r>
          </w:p>
          <w:p w:rsidR="0002527B" w:rsidRPr="00461669" w:rsidRDefault="0002527B" w:rsidP="00D92DE2">
            <w:pPr>
              <w:rPr>
                <w:b/>
                <w:sz w:val="24"/>
                <w:szCs w:val="24"/>
              </w:rPr>
            </w:pPr>
            <w:r w:rsidRPr="00461669">
              <w:rPr>
                <w:b/>
                <w:sz w:val="24"/>
                <w:szCs w:val="24"/>
              </w:rPr>
              <w:t>To what extent</w:t>
            </w:r>
            <w:r w:rsidR="00D92DE2" w:rsidRPr="00461669">
              <w:rPr>
                <w:b/>
                <w:sz w:val="24"/>
                <w:szCs w:val="24"/>
              </w:rPr>
              <w:t xml:space="preserve"> </w:t>
            </w:r>
            <w:r w:rsidRPr="00461669">
              <w:rPr>
                <w:b/>
                <w:sz w:val="24"/>
                <w:szCs w:val="24"/>
              </w:rPr>
              <w:t>do you:</w:t>
            </w:r>
          </w:p>
          <w:p w:rsidR="0002527B" w:rsidRDefault="0002527B" w:rsidP="0002527B">
            <w:pPr>
              <w:pStyle w:val="ListParagraph"/>
              <w:numPr>
                <w:ilvl w:val="0"/>
                <w:numId w:val="5"/>
              </w:numPr>
              <w:rPr>
                <w:sz w:val="24"/>
                <w:szCs w:val="24"/>
              </w:rPr>
            </w:pPr>
            <w:r w:rsidRPr="004F1193">
              <w:rPr>
                <w:sz w:val="24"/>
                <w:szCs w:val="24"/>
              </w:rPr>
              <w:t>Enable your students to receive developmental support, practice and rehearse the skills they need to complete their summative assignments?</w:t>
            </w:r>
          </w:p>
          <w:p w:rsidR="0002527B" w:rsidRPr="0002527B" w:rsidRDefault="0002527B" w:rsidP="0002527B">
            <w:pPr>
              <w:pStyle w:val="ListParagraph"/>
              <w:ind w:left="1080"/>
              <w:rPr>
                <w:sz w:val="24"/>
                <w:szCs w:val="24"/>
              </w:rPr>
            </w:pPr>
          </w:p>
          <w:p w:rsidR="0002527B" w:rsidRDefault="0002527B" w:rsidP="0002527B">
            <w:pPr>
              <w:pStyle w:val="ListParagraph"/>
              <w:numPr>
                <w:ilvl w:val="0"/>
                <w:numId w:val="5"/>
              </w:numPr>
              <w:rPr>
                <w:sz w:val="24"/>
                <w:szCs w:val="24"/>
              </w:rPr>
            </w:pPr>
            <w:r w:rsidRPr="004F1193">
              <w:rPr>
                <w:sz w:val="24"/>
                <w:szCs w:val="24"/>
              </w:rPr>
              <w:t>Offer students early opportunities to gauge their entry level capabilities and knowledge, so they can focus their energies appropriately?</w:t>
            </w:r>
          </w:p>
          <w:p w:rsidR="0002527B" w:rsidRPr="0002527B" w:rsidRDefault="0002527B" w:rsidP="0002527B">
            <w:pPr>
              <w:rPr>
                <w:sz w:val="24"/>
                <w:szCs w:val="24"/>
              </w:rPr>
            </w:pPr>
          </w:p>
          <w:p w:rsidR="0002527B" w:rsidRDefault="0002527B" w:rsidP="0002527B">
            <w:pPr>
              <w:pStyle w:val="ListParagraph"/>
              <w:numPr>
                <w:ilvl w:val="0"/>
                <w:numId w:val="5"/>
              </w:numPr>
              <w:rPr>
                <w:sz w:val="24"/>
                <w:szCs w:val="24"/>
              </w:rPr>
            </w:pPr>
            <w:r w:rsidRPr="004F1193">
              <w:rPr>
                <w:sz w:val="24"/>
                <w:szCs w:val="24"/>
              </w:rPr>
              <w:t>Offer students undertaking substantial assignments such as dissertations or major projects opportunities to receive incremental support through staged submission of elements to avoid risking everything in a single terminal assignment?</w:t>
            </w:r>
          </w:p>
          <w:p w:rsidR="0002527B" w:rsidRDefault="0002527B" w:rsidP="004F1193">
            <w:pPr>
              <w:rPr>
                <w:sz w:val="24"/>
                <w:szCs w:val="24"/>
              </w:rPr>
            </w:pPr>
          </w:p>
        </w:tc>
        <w:tc>
          <w:tcPr>
            <w:tcW w:w="709" w:type="dxa"/>
          </w:tcPr>
          <w:p w:rsidR="0002527B" w:rsidRDefault="0002527B" w:rsidP="004F1193">
            <w:pPr>
              <w:rPr>
                <w:sz w:val="24"/>
                <w:szCs w:val="24"/>
              </w:rPr>
            </w:pPr>
          </w:p>
        </w:tc>
        <w:tc>
          <w:tcPr>
            <w:tcW w:w="708" w:type="dxa"/>
          </w:tcPr>
          <w:p w:rsidR="0002527B" w:rsidRDefault="0002527B" w:rsidP="004F1193">
            <w:pPr>
              <w:rPr>
                <w:sz w:val="24"/>
                <w:szCs w:val="24"/>
              </w:rPr>
            </w:pPr>
          </w:p>
        </w:tc>
        <w:tc>
          <w:tcPr>
            <w:tcW w:w="709" w:type="dxa"/>
          </w:tcPr>
          <w:p w:rsidR="0002527B" w:rsidRDefault="0002527B" w:rsidP="004F1193">
            <w:pPr>
              <w:rPr>
                <w:sz w:val="24"/>
                <w:szCs w:val="24"/>
              </w:rPr>
            </w:pPr>
          </w:p>
        </w:tc>
        <w:tc>
          <w:tcPr>
            <w:tcW w:w="709" w:type="dxa"/>
          </w:tcPr>
          <w:p w:rsidR="0002527B" w:rsidRDefault="0002527B" w:rsidP="004F1193">
            <w:pPr>
              <w:rPr>
                <w:sz w:val="24"/>
                <w:szCs w:val="24"/>
              </w:rPr>
            </w:pPr>
          </w:p>
        </w:tc>
        <w:tc>
          <w:tcPr>
            <w:tcW w:w="4678" w:type="dxa"/>
          </w:tcPr>
          <w:p w:rsidR="0002527B" w:rsidRDefault="0002527B" w:rsidP="004F1193">
            <w:pPr>
              <w:rPr>
                <w:sz w:val="24"/>
                <w:szCs w:val="24"/>
              </w:rPr>
            </w:pPr>
          </w:p>
        </w:tc>
      </w:tr>
      <w:tr w:rsidR="004C360A" w:rsidTr="00524FB7">
        <w:tc>
          <w:tcPr>
            <w:tcW w:w="567" w:type="dxa"/>
          </w:tcPr>
          <w:p w:rsidR="004C360A" w:rsidRPr="004F1193" w:rsidRDefault="004C360A" w:rsidP="0002527B">
            <w:pPr>
              <w:pStyle w:val="ListParagraph"/>
              <w:numPr>
                <w:ilvl w:val="0"/>
                <w:numId w:val="1"/>
              </w:numPr>
              <w:rPr>
                <w:b/>
                <w:sz w:val="24"/>
                <w:szCs w:val="24"/>
              </w:rPr>
            </w:pPr>
          </w:p>
        </w:tc>
        <w:tc>
          <w:tcPr>
            <w:tcW w:w="7088" w:type="dxa"/>
          </w:tcPr>
          <w:p w:rsidR="008D5381" w:rsidRPr="008D5381" w:rsidRDefault="008D5381" w:rsidP="008D5381">
            <w:pPr>
              <w:rPr>
                <w:sz w:val="24"/>
                <w:szCs w:val="24"/>
              </w:rPr>
            </w:pPr>
            <w:r w:rsidRPr="008D5381">
              <w:rPr>
                <w:b/>
                <w:sz w:val="24"/>
                <w:szCs w:val="24"/>
              </w:rPr>
              <w:t xml:space="preserve">Feedback. </w:t>
            </w:r>
            <w:r w:rsidRPr="008D5381">
              <w:rPr>
                <w:sz w:val="24"/>
                <w:szCs w:val="24"/>
              </w:rPr>
              <w:t>See case studies 2, 3, 5, 6, 7, 8, 10, 11, 13, 14, 16, 20, 21, 22, 24, 28, 29, 30, 32, 33, 34, 35, 36, 43, 44</w:t>
            </w:r>
          </w:p>
          <w:p w:rsidR="00D92DE2" w:rsidRDefault="00D92DE2" w:rsidP="00D92DE2">
            <w:pPr>
              <w:rPr>
                <w:sz w:val="24"/>
                <w:szCs w:val="24"/>
              </w:rPr>
            </w:pPr>
          </w:p>
          <w:p w:rsidR="008D5381" w:rsidRPr="00461669" w:rsidRDefault="008D5381" w:rsidP="00D92DE2">
            <w:pPr>
              <w:rPr>
                <w:b/>
                <w:sz w:val="24"/>
                <w:szCs w:val="24"/>
              </w:rPr>
            </w:pPr>
            <w:r w:rsidRPr="00461669">
              <w:rPr>
                <w:b/>
                <w:sz w:val="24"/>
                <w:szCs w:val="24"/>
              </w:rPr>
              <w:t>To what extent</w:t>
            </w:r>
            <w:r w:rsidR="00D92DE2" w:rsidRPr="00461669">
              <w:rPr>
                <w:b/>
                <w:sz w:val="24"/>
                <w:szCs w:val="24"/>
              </w:rPr>
              <w:t xml:space="preserve"> </w:t>
            </w:r>
            <w:r w:rsidRPr="00461669">
              <w:rPr>
                <w:b/>
                <w:sz w:val="24"/>
                <w:szCs w:val="24"/>
              </w:rPr>
              <w:t>do you:</w:t>
            </w:r>
          </w:p>
          <w:p w:rsidR="008D5381" w:rsidRDefault="008D5381" w:rsidP="008D5381">
            <w:pPr>
              <w:pStyle w:val="ListParagraph"/>
              <w:numPr>
                <w:ilvl w:val="0"/>
                <w:numId w:val="8"/>
              </w:numPr>
              <w:rPr>
                <w:sz w:val="24"/>
                <w:szCs w:val="24"/>
              </w:rPr>
            </w:pPr>
            <w:r w:rsidRPr="004F1193">
              <w:rPr>
                <w:sz w:val="24"/>
                <w:szCs w:val="24"/>
              </w:rPr>
              <w:t>Enable students to gain formative feedback on their work so that</w:t>
            </w:r>
            <w:r w:rsidR="00D92DE2">
              <w:rPr>
                <w:sz w:val="24"/>
                <w:szCs w:val="24"/>
              </w:rPr>
              <w:t xml:space="preserve"> </w:t>
            </w:r>
            <w:r w:rsidRPr="004F1193">
              <w:rPr>
                <w:sz w:val="24"/>
                <w:szCs w:val="24"/>
              </w:rPr>
              <w:t xml:space="preserve">errors can be remediated and the quality of the output be enhanced before final submission? </w:t>
            </w:r>
          </w:p>
          <w:p w:rsidR="00CE0D03" w:rsidRDefault="00CE0D03" w:rsidP="00CE0D03">
            <w:pPr>
              <w:rPr>
                <w:sz w:val="24"/>
                <w:szCs w:val="24"/>
              </w:rPr>
            </w:pPr>
          </w:p>
          <w:p w:rsidR="00461669" w:rsidRPr="00CE0D03" w:rsidRDefault="00461669" w:rsidP="00CE0D03">
            <w:pPr>
              <w:rPr>
                <w:sz w:val="24"/>
                <w:szCs w:val="24"/>
              </w:rPr>
            </w:pPr>
          </w:p>
          <w:p w:rsidR="008D5381" w:rsidRDefault="008D5381" w:rsidP="008D5381">
            <w:pPr>
              <w:pStyle w:val="ListParagraph"/>
              <w:numPr>
                <w:ilvl w:val="0"/>
                <w:numId w:val="8"/>
              </w:numPr>
              <w:rPr>
                <w:sz w:val="24"/>
                <w:szCs w:val="24"/>
              </w:rPr>
            </w:pPr>
            <w:r w:rsidRPr="004F1193">
              <w:rPr>
                <w:sz w:val="24"/>
                <w:szCs w:val="24"/>
              </w:rPr>
              <w:t>Time assignments and feedback so that students can learn from comments on an earlier assignment and use them to improve subsequent assignments?</w:t>
            </w:r>
          </w:p>
          <w:p w:rsidR="00CE0D03" w:rsidRDefault="00CE0D03" w:rsidP="00CE0D03">
            <w:pPr>
              <w:rPr>
                <w:sz w:val="24"/>
                <w:szCs w:val="24"/>
              </w:rPr>
            </w:pPr>
          </w:p>
          <w:p w:rsidR="00461669" w:rsidRPr="00CE0D03" w:rsidRDefault="00461669" w:rsidP="00CE0D03">
            <w:pPr>
              <w:rPr>
                <w:sz w:val="24"/>
                <w:szCs w:val="24"/>
              </w:rPr>
            </w:pPr>
          </w:p>
          <w:p w:rsidR="008D5381" w:rsidRDefault="008D5381" w:rsidP="008D5381">
            <w:pPr>
              <w:pStyle w:val="ListParagraph"/>
              <w:numPr>
                <w:ilvl w:val="0"/>
                <w:numId w:val="8"/>
              </w:numPr>
              <w:rPr>
                <w:sz w:val="24"/>
                <w:szCs w:val="24"/>
              </w:rPr>
            </w:pPr>
            <w:r w:rsidRPr="004F1193">
              <w:rPr>
                <w:sz w:val="24"/>
                <w:szCs w:val="24"/>
              </w:rPr>
              <w:t>Require students proactively to respond to feedback and use it to improve the quality of their work?</w:t>
            </w:r>
          </w:p>
          <w:p w:rsidR="00461669" w:rsidRPr="00461669" w:rsidRDefault="00461669" w:rsidP="00461669">
            <w:pPr>
              <w:rPr>
                <w:sz w:val="24"/>
                <w:szCs w:val="24"/>
              </w:rPr>
            </w:pPr>
          </w:p>
          <w:p w:rsidR="004C360A" w:rsidRPr="00DE23A7" w:rsidRDefault="004C360A" w:rsidP="00DE23A7">
            <w:pPr>
              <w:rPr>
                <w:b/>
                <w:sz w:val="24"/>
                <w:szCs w:val="24"/>
              </w:rPr>
            </w:pPr>
          </w:p>
        </w:tc>
        <w:tc>
          <w:tcPr>
            <w:tcW w:w="709" w:type="dxa"/>
          </w:tcPr>
          <w:p w:rsidR="004C360A" w:rsidRDefault="004C360A" w:rsidP="004F1193">
            <w:pPr>
              <w:rPr>
                <w:sz w:val="24"/>
                <w:szCs w:val="24"/>
              </w:rPr>
            </w:pPr>
          </w:p>
        </w:tc>
        <w:tc>
          <w:tcPr>
            <w:tcW w:w="708" w:type="dxa"/>
          </w:tcPr>
          <w:p w:rsidR="004C360A" w:rsidRDefault="004C360A" w:rsidP="004F1193">
            <w:pPr>
              <w:rPr>
                <w:sz w:val="24"/>
                <w:szCs w:val="24"/>
              </w:rPr>
            </w:pPr>
          </w:p>
        </w:tc>
        <w:tc>
          <w:tcPr>
            <w:tcW w:w="709" w:type="dxa"/>
          </w:tcPr>
          <w:p w:rsidR="004C360A" w:rsidRDefault="004C360A" w:rsidP="004F1193">
            <w:pPr>
              <w:rPr>
                <w:sz w:val="24"/>
                <w:szCs w:val="24"/>
              </w:rPr>
            </w:pPr>
          </w:p>
        </w:tc>
        <w:tc>
          <w:tcPr>
            <w:tcW w:w="709" w:type="dxa"/>
          </w:tcPr>
          <w:p w:rsidR="004C360A" w:rsidRDefault="004C360A" w:rsidP="004F1193">
            <w:pPr>
              <w:rPr>
                <w:sz w:val="24"/>
                <w:szCs w:val="24"/>
              </w:rPr>
            </w:pPr>
          </w:p>
        </w:tc>
        <w:tc>
          <w:tcPr>
            <w:tcW w:w="4678" w:type="dxa"/>
          </w:tcPr>
          <w:p w:rsidR="004C360A" w:rsidRDefault="004C360A" w:rsidP="004F1193">
            <w:pPr>
              <w:rPr>
                <w:sz w:val="24"/>
                <w:szCs w:val="24"/>
              </w:rPr>
            </w:pPr>
          </w:p>
        </w:tc>
      </w:tr>
      <w:tr w:rsidR="004C360A" w:rsidTr="00524FB7">
        <w:tc>
          <w:tcPr>
            <w:tcW w:w="567" w:type="dxa"/>
          </w:tcPr>
          <w:p w:rsidR="004C360A" w:rsidRPr="004F1193" w:rsidRDefault="004C360A" w:rsidP="0002527B">
            <w:pPr>
              <w:pStyle w:val="ListParagraph"/>
              <w:numPr>
                <w:ilvl w:val="0"/>
                <w:numId w:val="1"/>
              </w:numPr>
              <w:rPr>
                <w:b/>
                <w:sz w:val="24"/>
                <w:szCs w:val="24"/>
              </w:rPr>
            </w:pPr>
          </w:p>
        </w:tc>
        <w:tc>
          <w:tcPr>
            <w:tcW w:w="7088" w:type="dxa"/>
          </w:tcPr>
          <w:p w:rsidR="008D5381" w:rsidRPr="008D5381" w:rsidRDefault="008D5381" w:rsidP="008D5381">
            <w:pPr>
              <w:rPr>
                <w:sz w:val="24"/>
                <w:szCs w:val="24"/>
              </w:rPr>
            </w:pPr>
            <w:r w:rsidRPr="008D5381">
              <w:rPr>
                <w:b/>
                <w:sz w:val="24"/>
                <w:szCs w:val="24"/>
              </w:rPr>
              <w:t>Teamwork and group activity</w:t>
            </w:r>
            <w:r w:rsidRPr="008D5381">
              <w:rPr>
                <w:sz w:val="24"/>
                <w:szCs w:val="24"/>
              </w:rPr>
              <w:t>. See case studies 3, 8, 12, 13, 14, 16, 17, 18, 23, 24, 33, 37, 38, 39, 41, 42</w:t>
            </w:r>
          </w:p>
          <w:p w:rsidR="00D92DE2" w:rsidRDefault="00D92DE2" w:rsidP="00D92DE2">
            <w:pPr>
              <w:rPr>
                <w:sz w:val="24"/>
                <w:szCs w:val="24"/>
              </w:rPr>
            </w:pPr>
          </w:p>
          <w:p w:rsidR="008D5381" w:rsidRPr="00461669" w:rsidRDefault="008D5381" w:rsidP="00D92DE2">
            <w:pPr>
              <w:rPr>
                <w:b/>
                <w:sz w:val="24"/>
                <w:szCs w:val="24"/>
              </w:rPr>
            </w:pPr>
            <w:r w:rsidRPr="00461669">
              <w:rPr>
                <w:b/>
                <w:sz w:val="24"/>
                <w:szCs w:val="24"/>
              </w:rPr>
              <w:t>To what extent</w:t>
            </w:r>
            <w:r w:rsidR="00D92DE2" w:rsidRPr="00461669">
              <w:rPr>
                <w:b/>
                <w:sz w:val="24"/>
                <w:szCs w:val="24"/>
              </w:rPr>
              <w:t xml:space="preserve"> </w:t>
            </w:r>
            <w:r w:rsidRPr="00461669">
              <w:rPr>
                <w:b/>
                <w:sz w:val="24"/>
                <w:szCs w:val="24"/>
              </w:rPr>
              <w:t>do you:</w:t>
            </w:r>
          </w:p>
          <w:p w:rsidR="008D5381" w:rsidRDefault="008D5381" w:rsidP="008D5381">
            <w:pPr>
              <w:pStyle w:val="ListParagraph"/>
              <w:numPr>
                <w:ilvl w:val="0"/>
                <w:numId w:val="7"/>
              </w:numPr>
              <w:rPr>
                <w:sz w:val="24"/>
                <w:szCs w:val="24"/>
              </w:rPr>
            </w:pPr>
            <w:r w:rsidRPr="004F1193">
              <w:rPr>
                <w:sz w:val="24"/>
                <w:szCs w:val="24"/>
              </w:rPr>
              <w:t>Require students to work on tasks as teams or groups?</w:t>
            </w:r>
          </w:p>
          <w:p w:rsidR="00CE0D03" w:rsidRDefault="00CE0D03" w:rsidP="00CE0D03">
            <w:pPr>
              <w:pStyle w:val="ListParagraph"/>
              <w:ind w:left="1080"/>
              <w:rPr>
                <w:sz w:val="24"/>
                <w:szCs w:val="24"/>
              </w:rPr>
            </w:pPr>
          </w:p>
          <w:p w:rsidR="00461669" w:rsidRPr="004F1193" w:rsidRDefault="00461669" w:rsidP="00CE0D03">
            <w:pPr>
              <w:pStyle w:val="ListParagraph"/>
              <w:ind w:left="1080"/>
              <w:rPr>
                <w:sz w:val="24"/>
                <w:szCs w:val="24"/>
              </w:rPr>
            </w:pPr>
          </w:p>
          <w:p w:rsidR="008D5381" w:rsidRDefault="008D5381" w:rsidP="008D5381">
            <w:pPr>
              <w:pStyle w:val="ListParagraph"/>
              <w:numPr>
                <w:ilvl w:val="0"/>
                <w:numId w:val="7"/>
              </w:numPr>
              <w:rPr>
                <w:sz w:val="24"/>
                <w:szCs w:val="24"/>
              </w:rPr>
            </w:pPr>
            <w:r w:rsidRPr="004F1193">
              <w:rPr>
                <w:sz w:val="24"/>
                <w:szCs w:val="24"/>
              </w:rPr>
              <w:t>Provide training and support to foster good team work and effective group behaviour?</w:t>
            </w:r>
          </w:p>
          <w:p w:rsidR="00CE0D03" w:rsidRDefault="00CE0D03" w:rsidP="00CE0D03">
            <w:pPr>
              <w:rPr>
                <w:sz w:val="24"/>
                <w:szCs w:val="24"/>
              </w:rPr>
            </w:pPr>
          </w:p>
          <w:p w:rsidR="00461669" w:rsidRPr="00CE0D03" w:rsidRDefault="00461669" w:rsidP="00CE0D03">
            <w:pPr>
              <w:rPr>
                <w:sz w:val="24"/>
                <w:szCs w:val="24"/>
              </w:rPr>
            </w:pPr>
          </w:p>
          <w:p w:rsidR="008D5381" w:rsidRDefault="008D5381" w:rsidP="008D5381">
            <w:pPr>
              <w:pStyle w:val="ListParagraph"/>
              <w:numPr>
                <w:ilvl w:val="0"/>
                <w:numId w:val="7"/>
              </w:numPr>
              <w:rPr>
                <w:sz w:val="24"/>
                <w:szCs w:val="24"/>
              </w:rPr>
            </w:pPr>
            <w:r w:rsidRPr="004F1193">
              <w:rPr>
                <w:sz w:val="24"/>
                <w:szCs w:val="24"/>
              </w:rPr>
              <w:t>Assess team/ group work skills?</w:t>
            </w:r>
          </w:p>
          <w:p w:rsidR="00D92DE2" w:rsidRDefault="00D92DE2" w:rsidP="00DE23A7">
            <w:pPr>
              <w:rPr>
                <w:sz w:val="24"/>
                <w:szCs w:val="24"/>
              </w:rPr>
            </w:pPr>
          </w:p>
          <w:p w:rsidR="00461669" w:rsidRPr="00DE23A7" w:rsidRDefault="00461669" w:rsidP="00DE23A7">
            <w:pPr>
              <w:rPr>
                <w:b/>
                <w:sz w:val="24"/>
                <w:szCs w:val="24"/>
              </w:rPr>
            </w:pPr>
          </w:p>
        </w:tc>
        <w:tc>
          <w:tcPr>
            <w:tcW w:w="709" w:type="dxa"/>
          </w:tcPr>
          <w:p w:rsidR="004C360A" w:rsidRDefault="004C360A" w:rsidP="004F1193">
            <w:pPr>
              <w:rPr>
                <w:sz w:val="24"/>
                <w:szCs w:val="24"/>
              </w:rPr>
            </w:pPr>
          </w:p>
        </w:tc>
        <w:tc>
          <w:tcPr>
            <w:tcW w:w="708" w:type="dxa"/>
          </w:tcPr>
          <w:p w:rsidR="004C360A" w:rsidRDefault="004C360A" w:rsidP="004F1193">
            <w:pPr>
              <w:rPr>
                <w:sz w:val="24"/>
                <w:szCs w:val="24"/>
              </w:rPr>
            </w:pPr>
          </w:p>
        </w:tc>
        <w:tc>
          <w:tcPr>
            <w:tcW w:w="709" w:type="dxa"/>
          </w:tcPr>
          <w:p w:rsidR="004C360A" w:rsidRDefault="004C360A" w:rsidP="004F1193">
            <w:pPr>
              <w:rPr>
                <w:sz w:val="24"/>
                <w:szCs w:val="24"/>
              </w:rPr>
            </w:pPr>
          </w:p>
        </w:tc>
        <w:tc>
          <w:tcPr>
            <w:tcW w:w="709" w:type="dxa"/>
          </w:tcPr>
          <w:p w:rsidR="004C360A" w:rsidRDefault="004C360A" w:rsidP="004F1193">
            <w:pPr>
              <w:rPr>
                <w:sz w:val="24"/>
                <w:szCs w:val="24"/>
              </w:rPr>
            </w:pPr>
          </w:p>
        </w:tc>
        <w:tc>
          <w:tcPr>
            <w:tcW w:w="4678" w:type="dxa"/>
          </w:tcPr>
          <w:p w:rsidR="004C360A" w:rsidRDefault="004C360A" w:rsidP="004F1193">
            <w:pPr>
              <w:rPr>
                <w:sz w:val="24"/>
                <w:szCs w:val="24"/>
              </w:rPr>
            </w:pPr>
          </w:p>
        </w:tc>
      </w:tr>
      <w:tr w:rsidR="008D5381" w:rsidTr="00524FB7">
        <w:tc>
          <w:tcPr>
            <w:tcW w:w="567" w:type="dxa"/>
          </w:tcPr>
          <w:p w:rsidR="008D5381" w:rsidRPr="004F1193" w:rsidRDefault="008D5381" w:rsidP="0002527B">
            <w:pPr>
              <w:pStyle w:val="ListParagraph"/>
              <w:numPr>
                <w:ilvl w:val="0"/>
                <w:numId w:val="1"/>
              </w:numPr>
              <w:rPr>
                <w:b/>
                <w:sz w:val="24"/>
                <w:szCs w:val="24"/>
              </w:rPr>
            </w:pPr>
          </w:p>
        </w:tc>
        <w:tc>
          <w:tcPr>
            <w:tcW w:w="7088" w:type="dxa"/>
          </w:tcPr>
          <w:p w:rsidR="008D5381" w:rsidRPr="008D5381" w:rsidRDefault="008D5381" w:rsidP="008D5381">
            <w:pPr>
              <w:rPr>
                <w:sz w:val="24"/>
                <w:szCs w:val="24"/>
              </w:rPr>
            </w:pPr>
            <w:r w:rsidRPr="008D5381">
              <w:rPr>
                <w:b/>
                <w:sz w:val="24"/>
                <w:szCs w:val="24"/>
              </w:rPr>
              <w:t>Employability.</w:t>
            </w:r>
            <w:r w:rsidRPr="008D5381">
              <w:rPr>
                <w:sz w:val="24"/>
                <w:szCs w:val="24"/>
              </w:rPr>
              <w:t xml:space="preserve"> See case studies 1, 2, 3, 4, 7, 8,9, 10, 12, 13, 14, 16, 17, 18, 20, 21, 22, 23, 24, 25, 27, 28, 29, 30, 32, 37, 38, 39, 40, 41, 43, 44</w:t>
            </w:r>
          </w:p>
          <w:p w:rsidR="00D92DE2" w:rsidRDefault="00D92DE2" w:rsidP="00D92DE2">
            <w:pPr>
              <w:rPr>
                <w:sz w:val="24"/>
                <w:szCs w:val="24"/>
              </w:rPr>
            </w:pPr>
          </w:p>
          <w:p w:rsidR="008D5381" w:rsidRPr="00784696" w:rsidRDefault="008D5381" w:rsidP="00D92DE2">
            <w:pPr>
              <w:rPr>
                <w:b/>
                <w:sz w:val="24"/>
                <w:szCs w:val="24"/>
              </w:rPr>
            </w:pPr>
            <w:r w:rsidRPr="00784696">
              <w:rPr>
                <w:b/>
                <w:sz w:val="24"/>
                <w:szCs w:val="24"/>
              </w:rPr>
              <w:t>To what extent</w:t>
            </w:r>
            <w:r w:rsidR="00D92DE2" w:rsidRPr="00784696">
              <w:rPr>
                <w:b/>
                <w:sz w:val="24"/>
                <w:szCs w:val="24"/>
              </w:rPr>
              <w:t xml:space="preserve"> </w:t>
            </w:r>
            <w:r w:rsidRPr="00784696">
              <w:rPr>
                <w:b/>
                <w:sz w:val="24"/>
                <w:szCs w:val="24"/>
              </w:rPr>
              <w:t>do you:</w:t>
            </w:r>
          </w:p>
          <w:p w:rsidR="008D5381" w:rsidRDefault="008D5381" w:rsidP="008D5381">
            <w:pPr>
              <w:pStyle w:val="ListParagraph"/>
              <w:numPr>
                <w:ilvl w:val="0"/>
                <w:numId w:val="14"/>
              </w:numPr>
              <w:rPr>
                <w:sz w:val="24"/>
                <w:szCs w:val="24"/>
              </w:rPr>
            </w:pPr>
            <w:r w:rsidRPr="004F1193">
              <w:rPr>
                <w:sz w:val="24"/>
                <w:szCs w:val="24"/>
              </w:rPr>
              <w:t>Seek to use fit-for-purpose assignments that test competency rather than proxy tasks?</w:t>
            </w:r>
          </w:p>
          <w:p w:rsidR="00CE0D03" w:rsidRPr="00CE0D03" w:rsidRDefault="00CE0D03" w:rsidP="00CE0D03">
            <w:pPr>
              <w:rPr>
                <w:sz w:val="24"/>
                <w:szCs w:val="24"/>
              </w:rPr>
            </w:pPr>
          </w:p>
          <w:p w:rsidR="008D5381" w:rsidRDefault="008D5381" w:rsidP="008D5381">
            <w:pPr>
              <w:pStyle w:val="ListParagraph"/>
              <w:numPr>
                <w:ilvl w:val="0"/>
                <w:numId w:val="14"/>
              </w:numPr>
              <w:rPr>
                <w:sz w:val="24"/>
                <w:szCs w:val="24"/>
              </w:rPr>
            </w:pPr>
            <w:r w:rsidRPr="004F1193">
              <w:rPr>
                <w:sz w:val="24"/>
                <w:szCs w:val="24"/>
              </w:rPr>
              <w:t>Review assignment tasks to ensure that learning aligns with employability requirements?</w:t>
            </w:r>
          </w:p>
          <w:p w:rsidR="00CE0D03" w:rsidRPr="00CE0D03" w:rsidRDefault="00CE0D03" w:rsidP="00CE0D03">
            <w:pPr>
              <w:rPr>
                <w:sz w:val="24"/>
                <w:szCs w:val="24"/>
              </w:rPr>
            </w:pPr>
          </w:p>
          <w:p w:rsidR="008D5381" w:rsidRPr="004F1193" w:rsidRDefault="008D5381" w:rsidP="008D5381">
            <w:pPr>
              <w:pStyle w:val="ListParagraph"/>
              <w:numPr>
                <w:ilvl w:val="0"/>
                <w:numId w:val="14"/>
              </w:numPr>
              <w:rPr>
                <w:sz w:val="24"/>
                <w:szCs w:val="24"/>
              </w:rPr>
            </w:pPr>
            <w:r w:rsidRPr="004F1193">
              <w:rPr>
                <w:sz w:val="24"/>
                <w:szCs w:val="24"/>
              </w:rPr>
              <w:t>Design assessments that foster and measure relevant skills?</w:t>
            </w:r>
          </w:p>
          <w:p w:rsidR="008D5381" w:rsidRPr="008D5381" w:rsidRDefault="008D5381" w:rsidP="008D5381">
            <w:pPr>
              <w:rPr>
                <w:b/>
                <w:sz w:val="24"/>
                <w:szCs w:val="24"/>
              </w:rPr>
            </w:pPr>
          </w:p>
        </w:tc>
        <w:tc>
          <w:tcPr>
            <w:tcW w:w="709" w:type="dxa"/>
          </w:tcPr>
          <w:p w:rsidR="008D5381" w:rsidRDefault="008D5381" w:rsidP="004F1193">
            <w:pPr>
              <w:rPr>
                <w:sz w:val="24"/>
                <w:szCs w:val="24"/>
              </w:rPr>
            </w:pPr>
          </w:p>
        </w:tc>
        <w:tc>
          <w:tcPr>
            <w:tcW w:w="708" w:type="dxa"/>
          </w:tcPr>
          <w:p w:rsidR="008D5381" w:rsidRDefault="008D5381" w:rsidP="004F1193">
            <w:pPr>
              <w:rPr>
                <w:sz w:val="24"/>
                <w:szCs w:val="24"/>
              </w:rPr>
            </w:pPr>
          </w:p>
        </w:tc>
        <w:tc>
          <w:tcPr>
            <w:tcW w:w="709" w:type="dxa"/>
          </w:tcPr>
          <w:p w:rsidR="008D5381" w:rsidRDefault="008D5381" w:rsidP="004F1193">
            <w:pPr>
              <w:rPr>
                <w:sz w:val="24"/>
                <w:szCs w:val="24"/>
              </w:rPr>
            </w:pPr>
          </w:p>
        </w:tc>
        <w:tc>
          <w:tcPr>
            <w:tcW w:w="709" w:type="dxa"/>
          </w:tcPr>
          <w:p w:rsidR="008D5381" w:rsidRDefault="008D5381" w:rsidP="004F1193">
            <w:pPr>
              <w:rPr>
                <w:sz w:val="24"/>
                <w:szCs w:val="24"/>
              </w:rPr>
            </w:pPr>
          </w:p>
        </w:tc>
        <w:tc>
          <w:tcPr>
            <w:tcW w:w="4678" w:type="dxa"/>
          </w:tcPr>
          <w:p w:rsidR="008D5381" w:rsidRDefault="008D5381" w:rsidP="004F1193">
            <w:pPr>
              <w:rPr>
                <w:sz w:val="24"/>
                <w:szCs w:val="24"/>
              </w:rPr>
            </w:pPr>
          </w:p>
        </w:tc>
      </w:tr>
      <w:tr w:rsidR="008D5381" w:rsidTr="00524FB7">
        <w:tc>
          <w:tcPr>
            <w:tcW w:w="567" w:type="dxa"/>
          </w:tcPr>
          <w:p w:rsidR="008D5381" w:rsidRPr="004F1193" w:rsidRDefault="008D5381" w:rsidP="0002527B">
            <w:pPr>
              <w:pStyle w:val="ListParagraph"/>
              <w:numPr>
                <w:ilvl w:val="0"/>
                <w:numId w:val="1"/>
              </w:numPr>
              <w:rPr>
                <w:b/>
                <w:sz w:val="24"/>
                <w:szCs w:val="24"/>
              </w:rPr>
            </w:pPr>
          </w:p>
        </w:tc>
        <w:tc>
          <w:tcPr>
            <w:tcW w:w="7088" w:type="dxa"/>
          </w:tcPr>
          <w:p w:rsidR="008D5381" w:rsidRPr="008D5381" w:rsidRDefault="008D5381" w:rsidP="008D5381">
            <w:pPr>
              <w:rPr>
                <w:sz w:val="24"/>
                <w:szCs w:val="24"/>
              </w:rPr>
            </w:pPr>
            <w:r w:rsidRPr="008D5381">
              <w:rPr>
                <w:b/>
                <w:sz w:val="24"/>
                <w:szCs w:val="24"/>
              </w:rPr>
              <w:t>Employer engagement</w:t>
            </w:r>
            <w:r w:rsidRPr="008D5381">
              <w:rPr>
                <w:sz w:val="24"/>
                <w:szCs w:val="24"/>
              </w:rPr>
              <w:t>. See case studies 3, 9, 10, 15, 18, 23, 24, 25, 29, 35, 40, 42</w:t>
            </w:r>
          </w:p>
          <w:p w:rsidR="00D92DE2" w:rsidRDefault="00D92DE2" w:rsidP="00D92DE2">
            <w:pPr>
              <w:rPr>
                <w:sz w:val="24"/>
                <w:szCs w:val="24"/>
              </w:rPr>
            </w:pPr>
          </w:p>
          <w:p w:rsidR="008D5381" w:rsidRPr="00784696" w:rsidRDefault="008D5381" w:rsidP="00D92DE2">
            <w:pPr>
              <w:rPr>
                <w:b/>
                <w:sz w:val="24"/>
                <w:szCs w:val="24"/>
              </w:rPr>
            </w:pPr>
            <w:r w:rsidRPr="00784696">
              <w:rPr>
                <w:b/>
                <w:sz w:val="24"/>
                <w:szCs w:val="24"/>
              </w:rPr>
              <w:t>To what extent</w:t>
            </w:r>
            <w:r w:rsidR="00D92DE2" w:rsidRPr="00784696">
              <w:rPr>
                <w:b/>
                <w:sz w:val="24"/>
                <w:szCs w:val="24"/>
              </w:rPr>
              <w:t xml:space="preserve"> </w:t>
            </w:r>
            <w:r w:rsidRPr="00784696">
              <w:rPr>
                <w:b/>
                <w:sz w:val="24"/>
                <w:szCs w:val="24"/>
              </w:rPr>
              <w:t>do you:</w:t>
            </w:r>
          </w:p>
          <w:p w:rsidR="008D5381" w:rsidRDefault="008D5381" w:rsidP="008D5381">
            <w:pPr>
              <w:pStyle w:val="ListParagraph"/>
              <w:numPr>
                <w:ilvl w:val="0"/>
                <w:numId w:val="12"/>
              </w:numPr>
              <w:rPr>
                <w:sz w:val="24"/>
                <w:szCs w:val="24"/>
              </w:rPr>
            </w:pPr>
            <w:r w:rsidRPr="004F1193">
              <w:rPr>
                <w:sz w:val="24"/>
                <w:szCs w:val="24"/>
              </w:rPr>
              <w:t>Discuss regularly with employers what kinds of activities enable studies on professional programmes to develop the advanced skills they need in the workplace?</w:t>
            </w:r>
          </w:p>
          <w:p w:rsidR="00CE0D03" w:rsidRPr="004F1193" w:rsidRDefault="00CE0D03" w:rsidP="00CE0D03">
            <w:pPr>
              <w:pStyle w:val="ListParagraph"/>
              <w:ind w:left="1080"/>
              <w:rPr>
                <w:sz w:val="24"/>
                <w:szCs w:val="24"/>
              </w:rPr>
            </w:pPr>
          </w:p>
          <w:p w:rsidR="008D5381" w:rsidRDefault="008D5381" w:rsidP="008D5381">
            <w:pPr>
              <w:pStyle w:val="ListParagraph"/>
              <w:numPr>
                <w:ilvl w:val="0"/>
                <w:numId w:val="12"/>
              </w:numPr>
              <w:rPr>
                <w:sz w:val="24"/>
                <w:szCs w:val="24"/>
              </w:rPr>
            </w:pPr>
            <w:r w:rsidRPr="004F1193">
              <w:rPr>
                <w:sz w:val="24"/>
                <w:szCs w:val="24"/>
              </w:rPr>
              <w:t>Involve employers in assignment design?</w:t>
            </w:r>
          </w:p>
          <w:p w:rsidR="00CE0D03" w:rsidRPr="00CE0D03" w:rsidRDefault="00CE0D03" w:rsidP="00CE0D03">
            <w:pPr>
              <w:rPr>
                <w:sz w:val="24"/>
                <w:szCs w:val="24"/>
              </w:rPr>
            </w:pPr>
          </w:p>
          <w:p w:rsidR="008D5381" w:rsidRDefault="008D5381" w:rsidP="008D5381">
            <w:pPr>
              <w:pStyle w:val="ListParagraph"/>
              <w:numPr>
                <w:ilvl w:val="0"/>
                <w:numId w:val="12"/>
              </w:numPr>
              <w:rPr>
                <w:sz w:val="24"/>
                <w:szCs w:val="24"/>
              </w:rPr>
            </w:pPr>
            <w:r w:rsidRPr="004F1193">
              <w:rPr>
                <w:sz w:val="24"/>
                <w:szCs w:val="24"/>
              </w:rPr>
              <w:t>Provide briefing for employers to enable them to act as co-assessors with course team members?</w:t>
            </w:r>
          </w:p>
          <w:p w:rsidR="00CE0D03" w:rsidRPr="00CE0D03" w:rsidRDefault="00CE0D03" w:rsidP="00CE0D03">
            <w:pPr>
              <w:rPr>
                <w:sz w:val="24"/>
                <w:szCs w:val="24"/>
              </w:rPr>
            </w:pPr>
          </w:p>
          <w:p w:rsidR="008D5381" w:rsidRPr="004F1193" w:rsidRDefault="008D5381" w:rsidP="008D5381">
            <w:pPr>
              <w:pStyle w:val="ListParagraph"/>
              <w:numPr>
                <w:ilvl w:val="0"/>
                <w:numId w:val="12"/>
              </w:numPr>
              <w:rPr>
                <w:sz w:val="24"/>
                <w:szCs w:val="24"/>
              </w:rPr>
            </w:pPr>
            <w:r w:rsidRPr="004F1193">
              <w:rPr>
                <w:sz w:val="24"/>
                <w:szCs w:val="24"/>
              </w:rPr>
              <w:t>Offer briefing and moderation opportunities for employers undertaking work-based assessment?</w:t>
            </w:r>
          </w:p>
          <w:p w:rsidR="008D5381" w:rsidRDefault="008D5381" w:rsidP="008D5381">
            <w:pPr>
              <w:rPr>
                <w:b/>
                <w:sz w:val="24"/>
                <w:szCs w:val="24"/>
              </w:rPr>
            </w:pPr>
          </w:p>
          <w:p w:rsidR="00D92DE2" w:rsidRDefault="00D92DE2" w:rsidP="008D5381">
            <w:pPr>
              <w:rPr>
                <w:b/>
                <w:sz w:val="24"/>
                <w:szCs w:val="24"/>
              </w:rPr>
            </w:pPr>
          </w:p>
          <w:p w:rsidR="00D92DE2" w:rsidRDefault="00D92DE2" w:rsidP="008D5381">
            <w:pPr>
              <w:rPr>
                <w:b/>
                <w:sz w:val="24"/>
                <w:szCs w:val="24"/>
              </w:rPr>
            </w:pPr>
          </w:p>
          <w:p w:rsidR="00D92DE2" w:rsidRPr="008D5381" w:rsidRDefault="00D92DE2" w:rsidP="008D5381">
            <w:pPr>
              <w:rPr>
                <w:b/>
                <w:sz w:val="24"/>
                <w:szCs w:val="24"/>
              </w:rPr>
            </w:pPr>
          </w:p>
        </w:tc>
        <w:tc>
          <w:tcPr>
            <w:tcW w:w="709" w:type="dxa"/>
          </w:tcPr>
          <w:p w:rsidR="008D5381" w:rsidRDefault="008D5381" w:rsidP="004F1193">
            <w:pPr>
              <w:rPr>
                <w:sz w:val="24"/>
                <w:szCs w:val="24"/>
              </w:rPr>
            </w:pPr>
          </w:p>
        </w:tc>
        <w:tc>
          <w:tcPr>
            <w:tcW w:w="708" w:type="dxa"/>
          </w:tcPr>
          <w:p w:rsidR="008D5381" w:rsidRDefault="008D5381" w:rsidP="004F1193">
            <w:pPr>
              <w:rPr>
                <w:sz w:val="24"/>
                <w:szCs w:val="24"/>
              </w:rPr>
            </w:pPr>
          </w:p>
        </w:tc>
        <w:tc>
          <w:tcPr>
            <w:tcW w:w="709" w:type="dxa"/>
          </w:tcPr>
          <w:p w:rsidR="008D5381" w:rsidRDefault="008D5381" w:rsidP="004F1193">
            <w:pPr>
              <w:rPr>
                <w:sz w:val="24"/>
                <w:szCs w:val="24"/>
              </w:rPr>
            </w:pPr>
          </w:p>
        </w:tc>
        <w:tc>
          <w:tcPr>
            <w:tcW w:w="709" w:type="dxa"/>
          </w:tcPr>
          <w:p w:rsidR="008D5381" w:rsidRDefault="008D5381" w:rsidP="004F1193">
            <w:pPr>
              <w:rPr>
                <w:sz w:val="24"/>
                <w:szCs w:val="24"/>
              </w:rPr>
            </w:pPr>
          </w:p>
        </w:tc>
        <w:tc>
          <w:tcPr>
            <w:tcW w:w="4678" w:type="dxa"/>
          </w:tcPr>
          <w:p w:rsidR="008D5381" w:rsidRDefault="008D5381" w:rsidP="004F1193">
            <w:pPr>
              <w:rPr>
                <w:sz w:val="24"/>
                <w:szCs w:val="24"/>
              </w:rPr>
            </w:pPr>
          </w:p>
        </w:tc>
      </w:tr>
      <w:tr w:rsidR="008D5381" w:rsidTr="00524FB7">
        <w:tc>
          <w:tcPr>
            <w:tcW w:w="567" w:type="dxa"/>
          </w:tcPr>
          <w:p w:rsidR="008D5381" w:rsidRPr="004F1193" w:rsidRDefault="008D5381" w:rsidP="0002527B">
            <w:pPr>
              <w:pStyle w:val="ListParagraph"/>
              <w:numPr>
                <w:ilvl w:val="0"/>
                <w:numId w:val="1"/>
              </w:numPr>
              <w:rPr>
                <w:b/>
                <w:sz w:val="24"/>
                <w:szCs w:val="24"/>
              </w:rPr>
            </w:pPr>
          </w:p>
        </w:tc>
        <w:tc>
          <w:tcPr>
            <w:tcW w:w="7088" w:type="dxa"/>
          </w:tcPr>
          <w:p w:rsidR="008D5381" w:rsidRPr="008D5381" w:rsidRDefault="008D5381" w:rsidP="008D5381">
            <w:pPr>
              <w:rPr>
                <w:sz w:val="24"/>
                <w:szCs w:val="24"/>
              </w:rPr>
            </w:pPr>
            <w:r w:rsidRPr="008D5381">
              <w:rPr>
                <w:b/>
                <w:sz w:val="24"/>
                <w:szCs w:val="24"/>
              </w:rPr>
              <w:t>Making good use of technology</w:t>
            </w:r>
            <w:r w:rsidRPr="008D5381">
              <w:rPr>
                <w:sz w:val="24"/>
                <w:szCs w:val="24"/>
              </w:rPr>
              <w:t>. See case studies 2, 6, 11,13, 14, 15, 16, 17, 22, 26, 29, 30, 33, 34, 36, 38, 40, 42, 43</w:t>
            </w:r>
          </w:p>
          <w:p w:rsidR="008D5381" w:rsidRPr="00784696" w:rsidRDefault="008D5381" w:rsidP="00784696">
            <w:pPr>
              <w:rPr>
                <w:b/>
                <w:sz w:val="24"/>
                <w:szCs w:val="24"/>
              </w:rPr>
            </w:pPr>
            <w:r w:rsidRPr="00784696">
              <w:rPr>
                <w:b/>
                <w:sz w:val="24"/>
                <w:szCs w:val="24"/>
              </w:rPr>
              <w:t>To what extent</w:t>
            </w:r>
            <w:r w:rsidR="00D92DE2" w:rsidRPr="00784696">
              <w:rPr>
                <w:b/>
                <w:sz w:val="24"/>
                <w:szCs w:val="24"/>
              </w:rPr>
              <w:t xml:space="preserve"> </w:t>
            </w:r>
            <w:r w:rsidRPr="00784696">
              <w:rPr>
                <w:b/>
                <w:sz w:val="24"/>
                <w:szCs w:val="24"/>
              </w:rPr>
              <w:t>do you:</w:t>
            </w:r>
          </w:p>
          <w:p w:rsidR="008D5381" w:rsidRDefault="008D5381" w:rsidP="008D5381">
            <w:pPr>
              <w:pStyle w:val="ListParagraph"/>
              <w:numPr>
                <w:ilvl w:val="0"/>
                <w:numId w:val="13"/>
              </w:numPr>
              <w:rPr>
                <w:sz w:val="24"/>
                <w:szCs w:val="24"/>
              </w:rPr>
            </w:pPr>
            <w:r w:rsidRPr="004F1193">
              <w:rPr>
                <w:sz w:val="24"/>
                <w:szCs w:val="24"/>
              </w:rPr>
              <w:t>Enable students to submit work and receive feedback on line?</w:t>
            </w:r>
          </w:p>
          <w:p w:rsidR="00CE0D03" w:rsidRPr="004F1193" w:rsidRDefault="00CE0D03" w:rsidP="00CE0D03">
            <w:pPr>
              <w:pStyle w:val="ListParagraph"/>
              <w:ind w:left="1070"/>
              <w:rPr>
                <w:sz w:val="24"/>
                <w:szCs w:val="24"/>
              </w:rPr>
            </w:pPr>
          </w:p>
          <w:p w:rsidR="008D5381" w:rsidRDefault="008D5381" w:rsidP="008D5381">
            <w:pPr>
              <w:pStyle w:val="ListParagraph"/>
              <w:numPr>
                <w:ilvl w:val="0"/>
                <w:numId w:val="13"/>
              </w:numPr>
              <w:rPr>
                <w:sz w:val="24"/>
                <w:szCs w:val="24"/>
              </w:rPr>
            </w:pPr>
            <w:r w:rsidRPr="004F1193">
              <w:rPr>
                <w:sz w:val="24"/>
                <w:szCs w:val="24"/>
              </w:rPr>
              <w:t>Require students to engage with virtual discussions and tasks on-line?</w:t>
            </w:r>
          </w:p>
          <w:p w:rsidR="00CE0D03" w:rsidRPr="00CE0D03" w:rsidRDefault="00CE0D03" w:rsidP="00CE0D03">
            <w:pPr>
              <w:rPr>
                <w:sz w:val="24"/>
                <w:szCs w:val="24"/>
              </w:rPr>
            </w:pPr>
          </w:p>
          <w:p w:rsidR="008D5381" w:rsidRDefault="008D5381" w:rsidP="008D5381">
            <w:pPr>
              <w:pStyle w:val="ListParagraph"/>
              <w:numPr>
                <w:ilvl w:val="0"/>
                <w:numId w:val="13"/>
              </w:numPr>
              <w:rPr>
                <w:sz w:val="24"/>
                <w:szCs w:val="24"/>
              </w:rPr>
            </w:pPr>
            <w:r w:rsidRPr="004F1193">
              <w:rPr>
                <w:sz w:val="24"/>
                <w:szCs w:val="24"/>
              </w:rPr>
              <w:t>Provide tasks that require the retrieval and use of information on-line?</w:t>
            </w:r>
          </w:p>
          <w:p w:rsidR="00CE0D03" w:rsidRPr="00CE0D03" w:rsidRDefault="00CE0D03" w:rsidP="00CE0D03">
            <w:pPr>
              <w:rPr>
                <w:sz w:val="24"/>
                <w:szCs w:val="24"/>
              </w:rPr>
            </w:pPr>
          </w:p>
          <w:p w:rsidR="008D5381" w:rsidRPr="00D92DE2" w:rsidRDefault="008D5381" w:rsidP="008D5381">
            <w:pPr>
              <w:pStyle w:val="ListParagraph"/>
              <w:numPr>
                <w:ilvl w:val="0"/>
                <w:numId w:val="13"/>
              </w:numPr>
              <w:rPr>
                <w:sz w:val="24"/>
                <w:szCs w:val="24"/>
              </w:rPr>
            </w:pPr>
            <w:r w:rsidRPr="004F1193">
              <w:rPr>
                <w:sz w:val="24"/>
                <w:szCs w:val="24"/>
              </w:rPr>
              <w:t xml:space="preserve">Use computer-supported assessment, for example, providing feedback through </w:t>
            </w:r>
            <w:proofErr w:type="spellStart"/>
            <w:r w:rsidRPr="004F1193">
              <w:rPr>
                <w:sz w:val="24"/>
                <w:szCs w:val="24"/>
              </w:rPr>
              <w:t>Moodle</w:t>
            </w:r>
            <w:proofErr w:type="spellEnd"/>
            <w:r w:rsidRPr="004F1193">
              <w:rPr>
                <w:sz w:val="24"/>
                <w:szCs w:val="24"/>
              </w:rPr>
              <w:t xml:space="preserve"> or Blackboard?</w:t>
            </w:r>
          </w:p>
        </w:tc>
        <w:tc>
          <w:tcPr>
            <w:tcW w:w="709" w:type="dxa"/>
          </w:tcPr>
          <w:p w:rsidR="008D5381" w:rsidRDefault="008D5381" w:rsidP="004F1193">
            <w:pPr>
              <w:rPr>
                <w:sz w:val="24"/>
                <w:szCs w:val="24"/>
              </w:rPr>
            </w:pPr>
          </w:p>
        </w:tc>
        <w:tc>
          <w:tcPr>
            <w:tcW w:w="708" w:type="dxa"/>
          </w:tcPr>
          <w:p w:rsidR="008D5381" w:rsidRDefault="008D5381" w:rsidP="004F1193">
            <w:pPr>
              <w:rPr>
                <w:sz w:val="24"/>
                <w:szCs w:val="24"/>
              </w:rPr>
            </w:pPr>
          </w:p>
        </w:tc>
        <w:tc>
          <w:tcPr>
            <w:tcW w:w="709" w:type="dxa"/>
          </w:tcPr>
          <w:p w:rsidR="008D5381" w:rsidRDefault="008D5381" w:rsidP="004F1193">
            <w:pPr>
              <w:rPr>
                <w:sz w:val="24"/>
                <w:szCs w:val="24"/>
              </w:rPr>
            </w:pPr>
          </w:p>
        </w:tc>
        <w:tc>
          <w:tcPr>
            <w:tcW w:w="709" w:type="dxa"/>
          </w:tcPr>
          <w:p w:rsidR="008D5381" w:rsidRDefault="008D5381" w:rsidP="004F1193">
            <w:pPr>
              <w:rPr>
                <w:sz w:val="24"/>
                <w:szCs w:val="24"/>
              </w:rPr>
            </w:pPr>
          </w:p>
        </w:tc>
        <w:tc>
          <w:tcPr>
            <w:tcW w:w="4678" w:type="dxa"/>
          </w:tcPr>
          <w:p w:rsidR="008D5381" w:rsidRDefault="008D5381" w:rsidP="004F1193">
            <w:pPr>
              <w:rPr>
                <w:sz w:val="24"/>
                <w:szCs w:val="24"/>
              </w:rPr>
            </w:pPr>
          </w:p>
        </w:tc>
      </w:tr>
      <w:tr w:rsidR="008D5381" w:rsidTr="00524FB7">
        <w:tc>
          <w:tcPr>
            <w:tcW w:w="567" w:type="dxa"/>
          </w:tcPr>
          <w:p w:rsidR="008D5381" w:rsidRPr="004F1193" w:rsidRDefault="008D5381" w:rsidP="0002527B">
            <w:pPr>
              <w:pStyle w:val="ListParagraph"/>
              <w:numPr>
                <w:ilvl w:val="0"/>
                <w:numId w:val="1"/>
              </w:numPr>
              <w:rPr>
                <w:b/>
                <w:sz w:val="24"/>
                <w:szCs w:val="24"/>
              </w:rPr>
            </w:pPr>
          </w:p>
        </w:tc>
        <w:tc>
          <w:tcPr>
            <w:tcW w:w="7088" w:type="dxa"/>
          </w:tcPr>
          <w:p w:rsidR="008D5381" w:rsidRPr="008D5381" w:rsidRDefault="008D5381" w:rsidP="008D5381">
            <w:pPr>
              <w:rPr>
                <w:sz w:val="24"/>
                <w:szCs w:val="24"/>
              </w:rPr>
            </w:pPr>
            <w:r w:rsidRPr="008D5381">
              <w:rPr>
                <w:b/>
                <w:sz w:val="24"/>
                <w:szCs w:val="24"/>
              </w:rPr>
              <w:t>Peer engagement/peer assessment.</w:t>
            </w:r>
            <w:r w:rsidRPr="008D5381">
              <w:rPr>
                <w:sz w:val="24"/>
                <w:szCs w:val="24"/>
              </w:rPr>
              <w:t xml:space="preserve"> See case studies 2, 3, 6, 14, 15, 18, 19, 26, 31, 39, 43</w:t>
            </w:r>
          </w:p>
          <w:p w:rsidR="008D5381" w:rsidRPr="00784696" w:rsidRDefault="008D5381" w:rsidP="00784696">
            <w:pPr>
              <w:rPr>
                <w:b/>
                <w:sz w:val="24"/>
                <w:szCs w:val="24"/>
              </w:rPr>
            </w:pPr>
            <w:r w:rsidRPr="00784696">
              <w:rPr>
                <w:b/>
                <w:sz w:val="24"/>
                <w:szCs w:val="24"/>
              </w:rPr>
              <w:t>To what extent do you:</w:t>
            </w:r>
          </w:p>
          <w:p w:rsidR="008D5381" w:rsidRDefault="008D5381" w:rsidP="008D5381">
            <w:pPr>
              <w:pStyle w:val="ListParagraph"/>
              <w:numPr>
                <w:ilvl w:val="0"/>
                <w:numId w:val="10"/>
              </w:numPr>
              <w:rPr>
                <w:sz w:val="24"/>
                <w:szCs w:val="24"/>
              </w:rPr>
            </w:pPr>
            <w:r w:rsidRPr="004F1193">
              <w:rPr>
                <w:sz w:val="24"/>
                <w:szCs w:val="24"/>
              </w:rPr>
              <w:t>Encourage students to review their own and each others’ work against the assignment criteria?</w:t>
            </w:r>
          </w:p>
          <w:p w:rsidR="008D5381" w:rsidRPr="008D5381" w:rsidRDefault="008D5381" w:rsidP="00784696">
            <w:pPr>
              <w:rPr>
                <w:sz w:val="24"/>
                <w:szCs w:val="24"/>
              </w:rPr>
            </w:pPr>
          </w:p>
          <w:p w:rsidR="008D5381" w:rsidRDefault="008D5381" w:rsidP="008D5381">
            <w:pPr>
              <w:pStyle w:val="ListParagraph"/>
              <w:numPr>
                <w:ilvl w:val="0"/>
                <w:numId w:val="10"/>
              </w:numPr>
              <w:rPr>
                <w:sz w:val="24"/>
                <w:szCs w:val="24"/>
              </w:rPr>
            </w:pPr>
            <w:r w:rsidRPr="004F1193">
              <w:rPr>
                <w:sz w:val="24"/>
                <w:szCs w:val="24"/>
              </w:rPr>
              <w:t>Provide training and support in peer assessment techniques?</w:t>
            </w:r>
          </w:p>
          <w:p w:rsidR="008D5381" w:rsidRPr="008D5381" w:rsidRDefault="008D5381" w:rsidP="008D5381">
            <w:pPr>
              <w:rPr>
                <w:sz w:val="24"/>
                <w:szCs w:val="24"/>
              </w:rPr>
            </w:pPr>
          </w:p>
          <w:p w:rsidR="008D5381" w:rsidRDefault="008D5381" w:rsidP="008D5381">
            <w:pPr>
              <w:pStyle w:val="ListParagraph"/>
              <w:numPr>
                <w:ilvl w:val="0"/>
                <w:numId w:val="10"/>
              </w:numPr>
              <w:rPr>
                <w:sz w:val="24"/>
                <w:szCs w:val="24"/>
              </w:rPr>
            </w:pPr>
            <w:r w:rsidRPr="004F1193">
              <w:rPr>
                <w:sz w:val="24"/>
                <w:szCs w:val="24"/>
              </w:rPr>
              <w:t>Give students guidance and feedback on their own abilities to critique fellow students’ work?</w:t>
            </w:r>
          </w:p>
          <w:p w:rsidR="008D5381" w:rsidRPr="008D5381" w:rsidRDefault="008D5381" w:rsidP="008D5381">
            <w:pPr>
              <w:rPr>
                <w:sz w:val="24"/>
                <w:szCs w:val="24"/>
              </w:rPr>
            </w:pPr>
          </w:p>
          <w:p w:rsidR="008D5381" w:rsidRDefault="008D5381" w:rsidP="008D5381">
            <w:pPr>
              <w:pStyle w:val="ListParagraph"/>
              <w:numPr>
                <w:ilvl w:val="0"/>
                <w:numId w:val="10"/>
              </w:numPr>
              <w:rPr>
                <w:sz w:val="24"/>
                <w:szCs w:val="24"/>
              </w:rPr>
            </w:pPr>
            <w:r w:rsidRPr="004F1193">
              <w:rPr>
                <w:sz w:val="24"/>
                <w:szCs w:val="24"/>
              </w:rPr>
              <w:t>Involve students in formative assessment of process and outcomes?</w:t>
            </w:r>
          </w:p>
          <w:p w:rsidR="008D5381" w:rsidRPr="008D5381" w:rsidRDefault="008D5381" w:rsidP="008D5381">
            <w:pPr>
              <w:rPr>
                <w:sz w:val="24"/>
                <w:szCs w:val="24"/>
              </w:rPr>
            </w:pPr>
          </w:p>
          <w:p w:rsidR="008D5381" w:rsidRDefault="008D5381" w:rsidP="008D5381">
            <w:pPr>
              <w:pStyle w:val="ListParagraph"/>
              <w:numPr>
                <w:ilvl w:val="0"/>
                <w:numId w:val="10"/>
              </w:numPr>
              <w:rPr>
                <w:sz w:val="24"/>
                <w:szCs w:val="24"/>
              </w:rPr>
            </w:pPr>
            <w:r w:rsidRPr="004F1193">
              <w:rPr>
                <w:sz w:val="24"/>
                <w:szCs w:val="24"/>
              </w:rPr>
              <w:t>Engage students in summative assessment of process and outcomes?</w:t>
            </w:r>
          </w:p>
          <w:p w:rsidR="00784696" w:rsidRPr="00784696" w:rsidRDefault="00784696" w:rsidP="00784696">
            <w:pPr>
              <w:rPr>
                <w:sz w:val="24"/>
                <w:szCs w:val="24"/>
              </w:rPr>
            </w:pPr>
          </w:p>
        </w:tc>
        <w:tc>
          <w:tcPr>
            <w:tcW w:w="709" w:type="dxa"/>
          </w:tcPr>
          <w:p w:rsidR="008D5381" w:rsidRDefault="008D5381" w:rsidP="004F1193">
            <w:pPr>
              <w:rPr>
                <w:sz w:val="24"/>
                <w:szCs w:val="24"/>
              </w:rPr>
            </w:pPr>
          </w:p>
        </w:tc>
        <w:tc>
          <w:tcPr>
            <w:tcW w:w="708" w:type="dxa"/>
          </w:tcPr>
          <w:p w:rsidR="008D5381" w:rsidRDefault="008D5381" w:rsidP="004F1193">
            <w:pPr>
              <w:rPr>
                <w:sz w:val="24"/>
                <w:szCs w:val="24"/>
              </w:rPr>
            </w:pPr>
          </w:p>
        </w:tc>
        <w:tc>
          <w:tcPr>
            <w:tcW w:w="709" w:type="dxa"/>
          </w:tcPr>
          <w:p w:rsidR="008D5381" w:rsidRDefault="008D5381" w:rsidP="004F1193">
            <w:pPr>
              <w:rPr>
                <w:sz w:val="24"/>
                <w:szCs w:val="24"/>
              </w:rPr>
            </w:pPr>
          </w:p>
        </w:tc>
        <w:tc>
          <w:tcPr>
            <w:tcW w:w="709" w:type="dxa"/>
          </w:tcPr>
          <w:p w:rsidR="008D5381" w:rsidRDefault="008D5381" w:rsidP="004F1193">
            <w:pPr>
              <w:rPr>
                <w:sz w:val="24"/>
                <w:szCs w:val="24"/>
              </w:rPr>
            </w:pPr>
          </w:p>
        </w:tc>
        <w:tc>
          <w:tcPr>
            <w:tcW w:w="4678" w:type="dxa"/>
          </w:tcPr>
          <w:p w:rsidR="008D5381" w:rsidRDefault="008D5381" w:rsidP="004F1193">
            <w:pPr>
              <w:rPr>
                <w:sz w:val="24"/>
                <w:szCs w:val="24"/>
              </w:rPr>
            </w:pPr>
          </w:p>
        </w:tc>
      </w:tr>
      <w:tr w:rsidR="008D5381" w:rsidTr="00524FB7">
        <w:tc>
          <w:tcPr>
            <w:tcW w:w="567" w:type="dxa"/>
          </w:tcPr>
          <w:p w:rsidR="008D5381" w:rsidRPr="004F1193" w:rsidRDefault="008D5381" w:rsidP="0002527B">
            <w:pPr>
              <w:pStyle w:val="ListParagraph"/>
              <w:numPr>
                <w:ilvl w:val="0"/>
                <w:numId w:val="1"/>
              </w:numPr>
              <w:rPr>
                <w:b/>
                <w:sz w:val="24"/>
                <w:szCs w:val="24"/>
              </w:rPr>
            </w:pPr>
          </w:p>
        </w:tc>
        <w:tc>
          <w:tcPr>
            <w:tcW w:w="7088" w:type="dxa"/>
          </w:tcPr>
          <w:p w:rsidR="008D5381" w:rsidRPr="008D5381" w:rsidRDefault="008D5381" w:rsidP="008D5381">
            <w:pPr>
              <w:rPr>
                <w:b/>
                <w:sz w:val="24"/>
                <w:szCs w:val="24"/>
              </w:rPr>
            </w:pPr>
            <w:r w:rsidRPr="008D5381">
              <w:rPr>
                <w:b/>
                <w:sz w:val="24"/>
                <w:szCs w:val="24"/>
              </w:rPr>
              <w:t>Programme level assessment</w:t>
            </w:r>
          </w:p>
          <w:p w:rsidR="008D5381" w:rsidRDefault="008D5381" w:rsidP="008D5381">
            <w:pPr>
              <w:rPr>
                <w:sz w:val="24"/>
                <w:szCs w:val="24"/>
              </w:rPr>
            </w:pPr>
            <w:r w:rsidRPr="004F1193">
              <w:rPr>
                <w:sz w:val="24"/>
                <w:szCs w:val="24"/>
              </w:rPr>
              <w:t xml:space="preserve">The companion NTFS project on programme level assessment led by Bradford university (see </w:t>
            </w:r>
            <w:hyperlink r:id="rId6" w:history="1">
              <w:r w:rsidRPr="004F1193">
                <w:rPr>
                  <w:rStyle w:val="Hyperlink"/>
                  <w:sz w:val="24"/>
                  <w:szCs w:val="24"/>
                </w:rPr>
                <w:t>http://www.pass.brad.ac.uk/</w:t>
              </w:r>
            </w:hyperlink>
            <w:r w:rsidRPr="004F1193">
              <w:rPr>
                <w:sz w:val="24"/>
                <w:szCs w:val="24"/>
              </w:rPr>
              <w:t xml:space="preserve">) </w:t>
            </w:r>
            <w:r w:rsidRPr="004F1193">
              <w:rPr>
                <w:rFonts w:cs="Arial"/>
                <w:sz w:val="24"/>
                <w:szCs w:val="24"/>
              </w:rPr>
              <w:t>sought to redress the current imbalance where assessment issues are primarily investigated and discussed at module/unit level by providing evidence-based guidance and exemplars/examples to help programme leaders develop and implement effective programme focused assessment strategies.</w:t>
            </w:r>
            <w:r w:rsidRPr="004F1193">
              <w:rPr>
                <w:sz w:val="24"/>
                <w:szCs w:val="24"/>
              </w:rPr>
              <w:t xml:space="preserve"> </w:t>
            </w:r>
          </w:p>
          <w:p w:rsidR="008D5381" w:rsidRPr="004F1193" w:rsidRDefault="008D5381" w:rsidP="008D5381">
            <w:pPr>
              <w:rPr>
                <w:sz w:val="24"/>
                <w:szCs w:val="24"/>
              </w:rPr>
            </w:pPr>
          </w:p>
          <w:p w:rsidR="008D5381" w:rsidRPr="00784696" w:rsidRDefault="008D5381" w:rsidP="00784696">
            <w:pPr>
              <w:rPr>
                <w:b/>
                <w:sz w:val="24"/>
                <w:szCs w:val="24"/>
              </w:rPr>
            </w:pPr>
            <w:r w:rsidRPr="00784696">
              <w:rPr>
                <w:b/>
                <w:sz w:val="24"/>
                <w:szCs w:val="24"/>
              </w:rPr>
              <w:t>To what extent do you:</w:t>
            </w:r>
          </w:p>
          <w:p w:rsidR="008D5381" w:rsidRDefault="008D5381" w:rsidP="008D5381">
            <w:pPr>
              <w:pStyle w:val="ListParagraph"/>
              <w:numPr>
                <w:ilvl w:val="0"/>
                <w:numId w:val="3"/>
              </w:numPr>
              <w:rPr>
                <w:sz w:val="24"/>
                <w:szCs w:val="24"/>
              </w:rPr>
            </w:pPr>
            <w:r w:rsidRPr="004F1193">
              <w:rPr>
                <w:sz w:val="24"/>
                <w:szCs w:val="24"/>
              </w:rPr>
              <w:t>Ensure a coherent and coordinated approach to the design of all assignments on your Masters programme to ensure that tasks are integrated and lead to high student achievement?</w:t>
            </w:r>
          </w:p>
          <w:p w:rsidR="008D5381" w:rsidRPr="008D5381" w:rsidRDefault="008D5381" w:rsidP="008D5381">
            <w:pPr>
              <w:ind w:left="720"/>
              <w:rPr>
                <w:sz w:val="24"/>
                <w:szCs w:val="24"/>
              </w:rPr>
            </w:pPr>
          </w:p>
          <w:p w:rsidR="008D5381" w:rsidRDefault="008D5381" w:rsidP="008D5381">
            <w:pPr>
              <w:pStyle w:val="ListParagraph"/>
              <w:numPr>
                <w:ilvl w:val="0"/>
                <w:numId w:val="3"/>
              </w:numPr>
              <w:rPr>
                <w:sz w:val="24"/>
                <w:szCs w:val="24"/>
              </w:rPr>
            </w:pPr>
            <w:r w:rsidRPr="004F1193">
              <w:rPr>
                <w:sz w:val="24"/>
                <w:szCs w:val="24"/>
              </w:rPr>
              <w:t>Check that you are not over-assessing students across the whole programme?</w:t>
            </w:r>
          </w:p>
          <w:p w:rsidR="008D5381" w:rsidRPr="008D5381" w:rsidRDefault="008D5381" w:rsidP="008D5381">
            <w:pPr>
              <w:rPr>
                <w:sz w:val="24"/>
                <w:szCs w:val="24"/>
              </w:rPr>
            </w:pPr>
          </w:p>
          <w:p w:rsidR="008D5381" w:rsidRDefault="008D5381" w:rsidP="008D5381">
            <w:pPr>
              <w:pStyle w:val="ListParagraph"/>
              <w:numPr>
                <w:ilvl w:val="0"/>
                <w:numId w:val="3"/>
              </w:numPr>
              <w:rPr>
                <w:sz w:val="24"/>
                <w:szCs w:val="24"/>
              </w:rPr>
            </w:pPr>
            <w:r w:rsidRPr="004F1193">
              <w:rPr>
                <w:sz w:val="24"/>
                <w:szCs w:val="24"/>
              </w:rPr>
              <w:t>Check that you are not over-using</w:t>
            </w:r>
            <w:r w:rsidR="00D92DE2">
              <w:rPr>
                <w:sz w:val="24"/>
                <w:szCs w:val="24"/>
              </w:rPr>
              <w:t xml:space="preserve"> </w:t>
            </w:r>
            <w:r w:rsidRPr="004F1193">
              <w:rPr>
                <w:sz w:val="24"/>
                <w:szCs w:val="24"/>
              </w:rPr>
              <w:t>the same kinds of assessment task (for example, presentations), across</w:t>
            </w:r>
            <w:r w:rsidR="00D92DE2">
              <w:rPr>
                <w:sz w:val="24"/>
                <w:szCs w:val="24"/>
              </w:rPr>
              <w:t xml:space="preserve"> </w:t>
            </w:r>
            <w:r w:rsidRPr="004F1193">
              <w:rPr>
                <w:sz w:val="24"/>
                <w:szCs w:val="24"/>
              </w:rPr>
              <w:t>several components of your programme?</w:t>
            </w:r>
          </w:p>
          <w:p w:rsidR="008D5381" w:rsidRPr="008D5381" w:rsidRDefault="008D5381" w:rsidP="008D5381">
            <w:pPr>
              <w:rPr>
                <w:sz w:val="24"/>
                <w:szCs w:val="24"/>
              </w:rPr>
            </w:pPr>
          </w:p>
          <w:p w:rsidR="008D5381" w:rsidRPr="004F1193" w:rsidRDefault="008D5381" w:rsidP="008D5381">
            <w:pPr>
              <w:pStyle w:val="ListParagraph"/>
              <w:numPr>
                <w:ilvl w:val="0"/>
                <w:numId w:val="3"/>
              </w:numPr>
              <w:rPr>
                <w:sz w:val="24"/>
                <w:szCs w:val="24"/>
              </w:rPr>
            </w:pPr>
            <w:r w:rsidRPr="004F1193">
              <w:rPr>
                <w:sz w:val="24"/>
                <w:szCs w:val="24"/>
              </w:rPr>
              <w:t>Offer synoptic assignments where learning from different modules can be assessed within a single tasks?</w:t>
            </w:r>
          </w:p>
          <w:p w:rsidR="008D5381" w:rsidRPr="004F1193" w:rsidRDefault="008D5381" w:rsidP="008D5381">
            <w:pPr>
              <w:pStyle w:val="ListParagraph"/>
              <w:ind w:left="1080"/>
              <w:rPr>
                <w:sz w:val="24"/>
                <w:szCs w:val="24"/>
              </w:rPr>
            </w:pPr>
          </w:p>
          <w:p w:rsidR="008D5381" w:rsidRPr="008D5381" w:rsidRDefault="008D5381" w:rsidP="008D5381">
            <w:pPr>
              <w:rPr>
                <w:b/>
                <w:sz w:val="24"/>
                <w:szCs w:val="24"/>
              </w:rPr>
            </w:pPr>
          </w:p>
        </w:tc>
        <w:tc>
          <w:tcPr>
            <w:tcW w:w="709" w:type="dxa"/>
          </w:tcPr>
          <w:p w:rsidR="008D5381" w:rsidRDefault="008D5381" w:rsidP="004F1193">
            <w:pPr>
              <w:rPr>
                <w:sz w:val="24"/>
                <w:szCs w:val="24"/>
              </w:rPr>
            </w:pPr>
          </w:p>
        </w:tc>
        <w:tc>
          <w:tcPr>
            <w:tcW w:w="708" w:type="dxa"/>
          </w:tcPr>
          <w:p w:rsidR="008D5381" w:rsidRDefault="008D5381" w:rsidP="004F1193">
            <w:pPr>
              <w:rPr>
                <w:sz w:val="24"/>
                <w:szCs w:val="24"/>
              </w:rPr>
            </w:pPr>
          </w:p>
        </w:tc>
        <w:tc>
          <w:tcPr>
            <w:tcW w:w="709" w:type="dxa"/>
          </w:tcPr>
          <w:p w:rsidR="008D5381" w:rsidRDefault="008D5381" w:rsidP="004F1193">
            <w:pPr>
              <w:rPr>
                <w:sz w:val="24"/>
                <w:szCs w:val="24"/>
              </w:rPr>
            </w:pPr>
          </w:p>
        </w:tc>
        <w:tc>
          <w:tcPr>
            <w:tcW w:w="709" w:type="dxa"/>
          </w:tcPr>
          <w:p w:rsidR="008D5381" w:rsidRDefault="008D5381" w:rsidP="004F1193">
            <w:pPr>
              <w:rPr>
                <w:sz w:val="24"/>
                <w:szCs w:val="24"/>
              </w:rPr>
            </w:pPr>
          </w:p>
        </w:tc>
        <w:tc>
          <w:tcPr>
            <w:tcW w:w="4678" w:type="dxa"/>
          </w:tcPr>
          <w:p w:rsidR="008D5381" w:rsidRDefault="008D5381" w:rsidP="004F1193">
            <w:pPr>
              <w:rPr>
                <w:sz w:val="24"/>
                <w:szCs w:val="24"/>
              </w:rPr>
            </w:pPr>
          </w:p>
        </w:tc>
      </w:tr>
    </w:tbl>
    <w:p w:rsidR="009144EA" w:rsidRPr="008D5381" w:rsidRDefault="009144EA" w:rsidP="008D5381">
      <w:pPr>
        <w:spacing w:line="240" w:lineRule="auto"/>
        <w:rPr>
          <w:sz w:val="24"/>
          <w:szCs w:val="24"/>
        </w:rPr>
      </w:pPr>
    </w:p>
    <w:p w:rsidR="00D92DE2" w:rsidRDefault="00D92DE2">
      <w:pPr>
        <w:rPr>
          <w:sz w:val="24"/>
          <w:szCs w:val="24"/>
        </w:rPr>
      </w:pPr>
      <w:r>
        <w:rPr>
          <w:sz w:val="24"/>
          <w:szCs w:val="24"/>
        </w:rPr>
        <w:br w:type="page"/>
      </w:r>
    </w:p>
    <w:p w:rsidR="0071761B" w:rsidRPr="004F1193" w:rsidRDefault="00C57500" w:rsidP="004F1193">
      <w:pPr>
        <w:spacing w:line="240" w:lineRule="auto"/>
        <w:rPr>
          <w:rFonts w:cs="Times New Roman"/>
          <w:b/>
          <w:bCs/>
          <w:sz w:val="24"/>
          <w:szCs w:val="24"/>
        </w:rPr>
      </w:pPr>
      <w:r>
        <w:rPr>
          <w:rFonts w:cs="Times New Roman"/>
          <w:b/>
          <w:bCs/>
          <w:sz w:val="24"/>
          <w:szCs w:val="24"/>
        </w:rPr>
        <w:lastRenderedPageBreak/>
        <w:t>Selected literature informing the Masters Level Project</w:t>
      </w:r>
    </w:p>
    <w:p w:rsidR="00CE0D03" w:rsidRDefault="00CE0D03" w:rsidP="004F1193">
      <w:pPr>
        <w:pStyle w:val="FootnoteText"/>
        <w:ind w:left="567" w:hanging="567"/>
        <w:rPr>
          <w:rFonts w:asciiTheme="minorHAnsi" w:hAnsiTheme="minorHAnsi"/>
          <w:sz w:val="24"/>
          <w:szCs w:val="24"/>
        </w:rPr>
        <w:sectPr w:rsidR="00CE0D03" w:rsidSect="00524FB7">
          <w:pgSz w:w="16838" w:h="11906" w:orient="landscape"/>
          <w:pgMar w:top="851" w:right="907" w:bottom="794" w:left="794" w:header="709" w:footer="709" w:gutter="0"/>
          <w:cols w:space="708"/>
          <w:docGrid w:linePitch="360"/>
        </w:sectPr>
      </w:pPr>
    </w:p>
    <w:p w:rsidR="0071761B" w:rsidRPr="001671F1" w:rsidRDefault="0071761B" w:rsidP="001671F1">
      <w:pPr>
        <w:pStyle w:val="FootnoteText"/>
        <w:ind w:left="425" w:hanging="425"/>
        <w:rPr>
          <w:rFonts w:asciiTheme="minorHAnsi" w:hAnsiTheme="minorHAnsi"/>
          <w:sz w:val="22"/>
          <w:szCs w:val="22"/>
        </w:rPr>
      </w:pPr>
      <w:r w:rsidRPr="001671F1">
        <w:rPr>
          <w:rFonts w:asciiTheme="minorHAnsi" w:hAnsiTheme="minorHAnsi"/>
          <w:sz w:val="22"/>
          <w:szCs w:val="22"/>
        </w:rPr>
        <w:lastRenderedPageBreak/>
        <w:t xml:space="preserve">Biggs, J. (2003) </w:t>
      </w:r>
      <w:r w:rsidRPr="001671F1">
        <w:rPr>
          <w:rFonts w:asciiTheme="minorHAnsi" w:hAnsiTheme="minorHAnsi"/>
          <w:i/>
          <w:iCs/>
          <w:sz w:val="22"/>
          <w:szCs w:val="22"/>
        </w:rPr>
        <w:t>Teaching for Quality Learning at University,</w:t>
      </w:r>
      <w:r w:rsidRPr="001671F1">
        <w:rPr>
          <w:rFonts w:asciiTheme="minorHAnsi" w:hAnsiTheme="minorHAnsi"/>
          <w:sz w:val="22"/>
          <w:szCs w:val="22"/>
        </w:rPr>
        <w:t xml:space="preserve"> Maidenhead: SRHE &amp; Open University Press.</w:t>
      </w:r>
    </w:p>
    <w:p w:rsidR="0071761B" w:rsidRPr="001671F1" w:rsidRDefault="0071761B" w:rsidP="001671F1">
      <w:pPr>
        <w:spacing w:after="0" w:line="240" w:lineRule="auto"/>
        <w:ind w:left="425" w:hanging="425"/>
        <w:rPr>
          <w:rFonts w:cs="Times New Roman"/>
        </w:rPr>
      </w:pPr>
      <w:proofErr w:type="spellStart"/>
      <w:r w:rsidRPr="001671F1">
        <w:rPr>
          <w:rFonts w:cs="Times New Roman"/>
        </w:rPr>
        <w:t>Bloxham</w:t>
      </w:r>
      <w:proofErr w:type="spellEnd"/>
      <w:r w:rsidRPr="001671F1">
        <w:rPr>
          <w:rFonts w:cs="Times New Roman"/>
        </w:rPr>
        <w:t xml:space="preserve">, S., and Boyd, P. (2007) </w:t>
      </w:r>
      <w:r w:rsidRPr="001671F1">
        <w:rPr>
          <w:rFonts w:cs="Times New Roman"/>
          <w:i/>
          <w:iCs/>
        </w:rPr>
        <w:t>Developing assessment in Higher education: a practical guide</w:t>
      </w:r>
      <w:r w:rsidRPr="001671F1">
        <w:rPr>
          <w:rFonts w:cs="Times New Roman"/>
        </w:rPr>
        <w:t xml:space="preserve">, Maidenhead: Open University Press. </w:t>
      </w:r>
    </w:p>
    <w:p w:rsidR="00573901" w:rsidRPr="001671F1" w:rsidRDefault="00573901" w:rsidP="001671F1">
      <w:pPr>
        <w:spacing w:after="0" w:line="240" w:lineRule="auto"/>
        <w:ind w:left="425" w:hanging="425"/>
        <w:rPr>
          <w:rFonts w:eastAsia="Calibri" w:cs="Arial"/>
        </w:rPr>
      </w:pPr>
      <w:proofErr w:type="spellStart"/>
      <w:r w:rsidRPr="001671F1">
        <w:rPr>
          <w:rFonts w:eastAsia="Calibri" w:cs="Arial"/>
        </w:rPr>
        <w:t>Boud</w:t>
      </w:r>
      <w:proofErr w:type="spellEnd"/>
      <w:r w:rsidRPr="001671F1">
        <w:rPr>
          <w:rFonts w:eastAsia="Calibri" w:cs="Arial"/>
        </w:rPr>
        <w:t xml:space="preserve">, D. and </w:t>
      </w:r>
      <w:proofErr w:type="spellStart"/>
      <w:r w:rsidRPr="001671F1">
        <w:rPr>
          <w:rFonts w:eastAsia="Calibri" w:cs="Arial"/>
        </w:rPr>
        <w:t>Falchikov</w:t>
      </w:r>
      <w:proofErr w:type="spellEnd"/>
      <w:r w:rsidRPr="001671F1">
        <w:rPr>
          <w:rFonts w:eastAsia="Calibri" w:cs="Arial"/>
        </w:rPr>
        <w:t xml:space="preserve">, N. (2007) (Eds.) </w:t>
      </w:r>
      <w:r w:rsidRPr="001671F1">
        <w:rPr>
          <w:rFonts w:eastAsia="Calibri" w:cs="Arial"/>
          <w:i/>
          <w:iCs/>
        </w:rPr>
        <w:t>Rethinking Assessment in Higher Education</w:t>
      </w:r>
      <w:r w:rsidRPr="001671F1">
        <w:rPr>
          <w:rFonts w:eastAsia="Calibri" w:cs="Arial"/>
        </w:rPr>
        <w:t>, London: Routledge</w:t>
      </w:r>
    </w:p>
    <w:p w:rsidR="0071761B" w:rsidRPr="001671F1" w:rsidRDefault="0071761B" w:rsidP="001671F1">
      <w:pPr>
        <w:pStyle w:val="FootnoteText"/>
        <w:ind w:left="425" w:hanging="425"/>
        <w:rPr>
          <w:rFonts w:asciiTheme="minorHAnsi" w:hAnsiTheme="minorHAnsi"/>
          <w:sz w:val="22"/>
          <w:szCs w:val="22"/>
        </w:rPr>
      </w:pPr>
      <w:r w:rsidRPr="001671F1">
        <w:rPr>
          <w:rFonts w:asciiTheme="minorHAnsi" w:hAnsiTheme="minorHAnsi"/>
          <w:sz w:val="22"/>
          <w:szCs w:val="22"/>
        </w:rPr>
        <w:t xml:space="preserve">Brown, S. (2011) </w:t>
      </w:r>
      <w:r w:rsidRPr="00C57500">
        <w:rPr>
          <w:rFonts w:asciiTheme="minorHAnsi" w:hAnsiTheme="minorHAnsi"/>
          <w:i/>
          <w:sz w:val="22"/>
          <w:szCs w:val="22"/>
        </w:rPr>
        <w:t>First class: how assessment can enhance student learning in Blue Skies: new thinking about the future of higher education</w:t>
      </w:r>
      <w:r w:rsidRPr="001671F1">
        <w:rPr>
          <w:rFonts w:asciiTheme="minorHAnsi" w:hAnsiTheme="minorHAnsi"/>
          <w:sz w:val="22"/>
          <w:szCs w:val="22"/>
        </w:rPr>
        <w:t xml:space="preserve">, London, Pearson. </w:t>
      </w:r>
    </w:p>
    <w:p w:rsidR="0071761B" w:rsidRPr="001671F1" w:rsidRDefault="00524FB7" w:rsidP="001671F1">
      <w:pPr>
        <w:widowControl w:val="0"/>
        <w:spacing w:after="0" w:line="240" w:lineRule="auto"/>
        <w:ind w:left="425" w:hanging="425"/>
        <w:rPr>
          <w:rFonts w:cs="Times New Roman"/>
        </w:rPr>
      </w:pPr>
      <w:r>
        <w:rPr>
          <w:rFonts w:cs="Times New Roman"/>
        </w:rPr>
        <w:t>Brown, S. and Race, P. (2012</w:t>
      </w:r>
      <w:r w:rsidR="0071761B" w:rsidRPr="001671F1">
        <w:rPr>
          <w:rFonts w:cs="Times New Roman"/>
        </w:rPr>
        <w:t xml:space="preserve">) </w:t>
      </w:r>
      <w:r w:rsidR="0071761B" w:rsidRPr="001671F1">
        <w:rPr>
          <w:rFonts w:cs="Times New Roman"/>
          <w:i/>
        </w:rPr>
        <w:t xml:space="preserve">Using effective assessment to promote learning </w:t>
      </w:r>
      <w:r w:rsidR="0071761B" w:rsidRPr="001671F1">
        <w:rPr>
          <w:rFonts w:cs="Times New Roman"/>
        </w:rPr>
        <w:t xml:space="preserve">in </w:t>
      </w:r>
      <w:r w:rsidR="0071761B" w:rsidRPr="001671F1">
        <w:rPr>
          <w:rFonts w:cs="Times New Roman"/>
          <w:color w:val="000000"/>
        </w:rPr>
        <w:t>University teaching in focus: A learning-centred approach</w:t>
      </w:r>
      <w:r w:rsidR="0071761B" w:rsidRPr="001671F1">
        <w:rPr>
          <w:rFonts w:cs="Times New Roman"/>
          <w:i/>
        </w:rPr>
        <w:t xml:space="preserve">, </w:t>
      </w:r>
      <w:r w:rsidR="0071761B" w:rsidRPr="001671F1">
        <w:rPr>
          <w:rFonts w:cs="Times New Roman"/>
        </w:rPr>
        <w:t>Chalmers, D and Hunt, L. (</w:t>
      </w:r>
      <w:proofErr w:type="spellStart"/>
      <w:r w:rsidR="0071761B" w:rsidRPr="001671F1">
        <w:rPr>
          <w:rFonts w:cs="Times New Roman"/>
        </w:rPr>
        <w:t>eds</w:t>
      </w:r>
      <w:proofErr w:type="spellEnd"/>
      <w:r w:rsidR="0071761B" w:rsidRPr="001671F1">
        <w:rPr>
          <w:rFonts w:cs="Times New Roman"/>
        </w:rPr>
        <w:t>), Melbourne: Australian Council for Educational Research</w:t>
      </w:r>
      <w:r>
        <w:rPr>
          <w:rFonts w:cs="Times New Roman"/>
        </w:rPr>
        <w:t>.</w:t>
      </w:r>
    </w:p>
    <w:p w:rsidR="0071761B" w:rsidRPr="001671F1" w:rsidRDefault="00524FB7" w:rsidP="001671F1">
      <w:pPr>
        <w:widowControl w:val="0"/>
        <w:spacing w:after="0" w:line="240" w:lineRule="auto"/>
        <w:ind w:left="425" w:hanging="425"/>
        <w:rPr>
          <w:rFonts w:cs="Times New Roman"/>
        </w:rPr>
      </w:pPr>
      <w:r>
        <w:rPr>
          <w:rFonts w:cs="Times New Roman"/>
          <w:bCs/>
        </w:rPr>
        <w:t>Brown, S (2012</w:t>
      </w:r>
      <w:r w:rsidR="0071761B" w:rsidRPr="001671F1">
        <w:rPr>
          <w:rFonts w:cs="Times New Roman"/>
          <w:bCs/>
        </w:rPr>
        <w:t xml:space="preserve">) </w:t>
      </w:r>
      <w:r w:rsidR="0071761B" w:rsidRPr="001671F1">
        <w:rPr>
          <w:rFonts w:cs="Times New Roman"/>
          <w:bCs/>
          <w:i/>
        </w:rPr>
        <w:t>Diverse and innovative assessment at Masters Level: alternatives to conventional written assignments</w:t>
      </w:r>
      <w:r w:rsidR="0071761B" w:rsidRPr="001671F1">
        <w:rPr>
          <w:rFonts w:cs="Times New Roman"/>
          <w:bCs/>
        </w:rPr>
        <w:t xml:space="preserve"> in AISHE-J: The All Ireland Journal of Teaching and Learning in Higher Education </w:t>
      </w:r>
      <w:proofErr w:type="spellStart"/>
      <w:r w:rsidR="0071761B" w:rsidRPr="001671F1">
        <w:rPr>
          <w:rFonts w:cs="Times New Roman"/>
          <w:bCs/>
        </w:rPr>
        <w:t>Vol</w:t>
      </w:r>
      <w:proofErr w:type="spellEnd"/>
      <w:r w:rsidR="0071761B" w:rsidRPr="001671F1">
        <w:rPr>
          <w:rFonts w:cs="Times New Roman"/>
          <w:bCs/>
        </w:rPr>
        <w:t xml:space="preserve"> 4, No 2</w:t>
      </w:r>
      <w:r>
        <w:rPr>
          <w:rFonts w:cs="Times New Roman"/>
          <w:bCs/>
        </w:rPr>
        <w:t>.</w:t>
      </w:r>
    </w:p>
    <w:p w:rsidR="0071761B" w:rsidRPr="00524FB7" w:rsidRDefault="00524FB7" w:rsidP="001671F1">
      <w:pPr>
        <w:spacing w:after="0" w:line="240" w:lineRule="auto"/>
        <w:ind w:left="425" w:hanging="425"/>
        <w:rPr>
          <w:rFonts w:cs="Times New Roman"/>
          <w:i/>
        </w:rPr>
      </w:pPr>
      <w:r>
        <w:rPr>
          <w:rFonts w:cs="Times New Roman"/>
          <w:bCs/>
        </w:rPr>
        <w:t>Brown, S. (2013</w:t>
      </w:r>
      <w:r w:rsidR="0071761B" w:rsidRPr="001671F1">
        <w:rPr>
          <w:rFonts w:cs="Times New Roman"/>
          <w:bCs/>
        </w:rPr>
        <w:t xml:space="preserve">) </w:t>
      </w:r>
      <w:r w:rsidR="0071761B" w:rsidRPr="00524FB7">
        <w:rPr>
          <w:rFonts w:cs="Times New Roman"/>
          <w:bCs/>
        </w:rPr>
        <w:t>What are the perceived differences between assessing at Masters level and undergraduate level assessment? Some findings from an NTFS–funded project</w:t>
      </w:r>
      <w:r>
        <w:rPr>
          <w:rFonts w:cs="Times New Roman"/>
          <w:bCs/>
          <w:i/>
        </w:rPr>
        <w:t>,</w:t>
      </w:r>
      <w:r w:rsidR="0071761B" w:rsidRPr="001671F1">
        <w:rPr>
          <w:rFonts w:cs="Times New Roman"/>
          <w:bCs/>
          <w:i/>
        </w:rPr>
        <w:t xml:space="preserve"> </w:t>
      </w:r>
      <w:r w:rsidR="0071761B" w:rsidRPr="00524FB7">
        <w:rPr>
          <w:rFonts w:cs="Times New Roman"/>
          <w:bCs/>
          <w:i/>
        </w:rPr>
        <w:t>Innovations in Education and Teaching International, forthcoming</w:t>
      </w:r>
      <w:r w:rsidRPr="00524FB7">
        <w:rPr>
          <w:rFonts w:cs="Times New Roman"/>
          <w:bCs/>
          <w:i/>
        </w:rPr>
        <w:t>.</w:t>
      </w:r>
    </w:p>
    <w:p w:rsidR="0071761B" w:rsidRPr="001671F1" w:rsidRDefault="0071761B" w:rsidP="001671F1">
      <w:pPr>
        <w:spacing w:after="0" w:line="240" w:lineRule="auto"/>
        <w:ind w:left="425" w:hanging="425"/>
        <w:rPr>
          <w:rFonts w:cs="Times New Roman"/>
        </w:rPr>
      </w:pPr>
      <w:r w:rsidRPr="001671F1">
        <w:rPr>
          <w:rFonts w:cs="Times New Roman"/>
          <w:bCs/>
        </w:rPr>
        <w:t xml:space="preserve">Brown, S., Deignan, T. Race, P. and Priestley, J. (2012) </w:t>
      </w:r>
      <w:r w:rsidRPr="001671F1">
        <w:rPr>
          <w:rFonts w:cs="Times New Roman"/>
          <w:bCs/>
          <w:i/>
        </w:rPr>
        <w:t>Assessing students at Masters Level: learning points for Educational Developers</w:t>
      </w:r>
      <w:r w:rsidRPr="001671F1">
        <w:rPr>
          <w:rFonts w:cs="Times New Roman"/>
          <w:bCs/>
        </w:rPr>
        <w:t xml:space="preserve"> Educational Developments, SEDA, Birmingham.</w:t>
      </w:r>
    </w:p>
    <w:p w:rsidR="0071761B" w:rsidRPr="001671F1" w:rsidRDefault="0071761B" w:rsidP="001671F1">
      <w:pPr>
        <w:spacing w:after="0" w:line="240" w:lineRule="auto"/>
        <w:ind w:left="425" w:hanging="425"/>
        <w:rPr>
          <w:rFonts w:cs="Times New Roman"/>
          <w:kern w:val="36"/>
          <w:lang w:eastAsia="en-GB"/>
        </w:rPr>
      </w:pPr>
      <w:r w:rsidRPr="001671F1">
        <w:rPr>
          <w:rFonts w:cs="Times New Roman"/>
          <w:kern w:val="36"/>
          <w:lang w:eastAsia="en-GB"/>
        </w:rPr>
        <w:t xml:space="preserve">Casey, J. (2002) </w:t>
      </w:r>
      <w:r w:rsidRPr="001671F1">
        <w:rPr>
          <w:rFonts w:cs="Times New Roman"/>
          <w:i/>
          <w:iCs/>
          <w:kern w:val="36"/>
          <w:lang w:eastAsia="en-GB"/>
        </w:rPr>
        <w:t>On-line assessment in a masters-level policy subject: participation in an on-line forum as part of assessment</w:t>
      </w:r>
      <w:r w:rsidRPr="001671F1">
        <w:rPr>
          <w:rFonts w:cs="Times New Roman"/>
          <w:kern w:val="36"/>
          <w:lang w:eastAsia="en-GB"/>
        </w:rPr>
        <w:t xml:space="preserve">, Centre for the study of higher education, Charles </w:t>
      </w:r>
      <w:proofErr w:type="spellStart"/>
      <w:r w:rsidRPr="001671F1">
        <w:rPr>
          <w:rFonts w:cs="Times New Roman"/>
          <w:kern w:val="36"/>
          <w:lang w:eastAsia="en-GB"/>
        </w:rPr>
        <w:t>Sturt</w:t>
      </w:r>
      <w:proofErr w:type="spellEnd"/>
      <w:r w:rsidRPr="001671F1">
        <w:rPr>
          <w:rFonts w:cs="Times New Roman"/>
          <w:kern w:val="36"/>
          <w:lang w:eastAsia="en-GB"/>
        </w:rPr>
        <w:t xml:space="preserve"> University, Australia.</w:t>
      </w:r>
    </w:p>
    <w:p w:rsidR="0071761B" w:rsidRPr="001671F1" w:rsidRDefault="0071761B" w:rsidP="001671F1">
      <w:pPr>
        <w:spacing w:after="0" w:line="240" w:lineRule="auto"/>
        <w:ind w:left="425" w:hanging="425"/>
        <w:rPr>
          <w:rFonts w:cs="Times New Roman"/>
          <w:kern w:val="36"/>
          <w:lang w:eastAsia="en-GB"/>
        </w:rPr>
      </w:pPr>
      <w:r w:rsidRPr="001671F1">
        <w:rPr>
          <w:rFonts w:cs="Times New Roman"/>
          <w:kern w:val="36"/>
          <w:lang w:eastAsia="en-GB"/>
        </w:rPr>
        <w:t xml:space="preserve">Dunn, S. and Singh, K. A. (2009) </w:t>
      </w:r>
      <w:r w:rsidRPr="001671F1">
        <w:rPr>
          <w:rFonts w:cs="Times New Roman"/>
          <w:i/>
          <w:iCs/>
          <w:kern w:val="36"/>
          <w:lang w:eastAsia="en-GB"/>
        </w:rPr>
        <w:t>Analysis of M-level modules in interdisciplinary</w:t>
      </w:r>
      <w:r w:rsidRPr="001671F1">
        <w:rPr>
          <w:rFonts w:cs="Times New Roman"/>
          <w:kern w:val="36"/>
          <w:lang w:eastAsia="en-GB"/>
        </w:rPr>
        <w:t xml:space="preserve"> </w:t>
      </w:r>
      <w:r w:rsidRPr="001671F1">
        <w:rPr>
          <w:rFonts w:cs="Times New Roman"/>
          <w:i/>
          <w:iCs/>
          <w:kern w:val="36"/>
          <w:lang w:eastAsia="en-GB"/>
        </w:rPr>
        <w:t>nanotechnology education</w:t>
      </w:r>
      <w:r w:rsidRPr="001671F1">
        <w:rPr>
          <w:rFonts w:cs="Times New Roman"/>
          <w:kern w:val="36"/>
          <w:lang w:eastAsia="en-GB"/>
        </w:rPr>
        <w:t xml:space="preserve">, </w:t>
      </w:r>
      <w:proofErr w:type="spellStart"/>
      <w:r w:rsidRPr="001671F1">
        <w:rPr>
          <w:rFonts w:cs="Times New Roman"/>
          <w:kern w:val="36"/>
          <w:lang w:eastAsia="en-GB"/>
        </w:rPr>
        <w:t>Cranfield</w:t>
      </w:r>
      <w:proofErr w:type="spellEnd"/>
      <w:r w:rsidRPr="001671F1">
        <w:rPr>
          <w:rFonts w:cs="Times New Roman"/>
          <w:kern w:val="36"/>
          <w:lang w:eastAsia="en-GB"/>
        </w:rPr>
        <w:t xml:space="preserve">, UK: Nanotechnology Centre, Department of Materials, School of Applied Sciences, </w:t>
      </w:r>
      <w:proofErr w:type="spellStart"/>
      <w:r w:rsidRPr="001671F1">
        <w:rPr>
          <w:rFonts w:cs="Times New Roman"/>
          <w:kern w:val="36"/>
          <w:lang w:eastAsia="en-GB"/>
        </w:rPr>
        <w:t>Cranfield</w:t>
      </w:r>
      <w:proofErr w:type="spellEnd"/>
      <w:r w:rsidRPr="001671F1">
        <w:rPr>
          <w:rFonts w:cs="Times New Roman"/>
          <w:kern w:val="36"/>
          <w:lang w:eastAsia="en-GB"/>
        </w:rPr>
        <w:t xml:space="preserve"> University.</w:t>
      </w:r>
    </w:p>
    <w:p w:rsidR="0071761B" w:rsidRPr="001671F1" w:rsidRDefault="0071761B" w:rsidP="001671F1">
      <w:pPr>
        <w:spacing w:after="0" w:line="240" w:lineRule="auto"/>
        <w:ind w:left="425" w:hanging="425"/>
        <w:rPr>
          <w:rFonts w:cs="Times New Roman"/>
          <w:kern w:val="36"/>
          <w:lang w:eastAsia="en-GB"/>
        </w:rPr>
      </w:pPr>
      <w:r w:rsidRPr="001671F1">
        <w:rPr>
          <w:rFonts w:cs="Times New Roman"/>
          <w:kern w:val="36"/>
          <w:lang w:eastAsia="en-GB"/>
        </w:rPr>
        <w:t>Escalate</w:t>
      </w:r>
      <w:r w:rsidRPr="001671F1">
        <w:rPr>
          <w:rFonts w:cs="Times New Roman"/>
          <w:i/>
          <w:iCs/>
          <w:kern w:val="36"/>
          <w:lang w:eastAsia="en-GB"/>
        </w:rPr>
        <w:t xml:space="preserve"> M level PGCE</w:t>
      </w:r>
      <w:r w:rsidRPr="001671F1">
        <w:rPr>
          <w:rFonts w:cs="Times New Roman"/>
          <w:kern w:val="36"/>
          <w:lang w:eastAsia="en-GB"/>
        </w:rPr>
        <w:t>. (2007) ITEM level PGCE seminar at the University of Gloucestershire on January 9</w:t>
      </w:r>
      <w:r w:rsidRPr="001671F1">
        <w:rPr>
          <w:rFonts w:cs="Times New Roman"/>
          <w:kern w:val="36"/>
          <w:vertAlign w:val="superscript"/>
          <w:lang w:eastAsia="en-GB"/>
        </w:rPr>
        <w:t>th</w:t>
      </w:r>
      <w:r w:rsidRPr="001671F1">
        <w:rPr>
          <w:rFonts w:cs="Times New Roman"/>
          <w:kern w:val="36"/>
          <w:lang w:eastAsia="en-GB"/>
        </w:rPr>
        <w:t xml:space="preserve"> 2007.</w:t>
      </w:r>
    </w:p>
    <w:p w:rsidR="0071761B" w:rsidRPr="001671F1" w:rsidRDefault="0071761B" w:rsidP="001671F1">
      <w:pPr>
        <w:spacing w:after="0" w:line="240" w:lineRule="auto"/>
        <w:ind w:left="425" w:hanging="425"/>
        <w:rPr>
          <w:rFonts w:cs="Times New Roman"/>
          <w:i/>
          <w:iCs/>
          <w:kern w:val="36"/>
          <w:lang w:eastAsia="en-GB"/>
        </w:rPr>
      </w:pPr>
      <w:r w:rsidRPr="001671F1">
        <w:rPr>
          <w:rFonts w:cs="Times New Roman"/>
          <w:kern w:val="36"/>
          <w:lang w:eastAsia="en-GB"/>
        </w:rPr>
        <w:t xml:space="preserve">Fry, H., Pearce, R. and Bright, H. (2007) Re-working resource-based learning - a case study from a masters programme. </w:t>
      </w:r>
      <w:r w:rsidRPr="001671F1">
        <w:rPr>
          <w:rFonts w:cs="Times New Roman"/>
          <w:i/>
          <w:iCs/>
          <w:kern w:val="36"/>
          <w:lang w:eastAsia="en-GB"/>
        </w:rPr>
        <w:t>Innovations in Education and Teaching International</w:t>
      </w:r>
      <w:r w:rsidRPr="001671F1">
        <w:rPr>
          <w:rFonts w:cs="Times New Roman"/>
          <w:kern w:val="36"/>
          <w:lang w:eastAsia="en-GB"/>
        </w:rPr>
        <w:t xml:space="preserve">, </w:t>
      </w:r>
      <w:r w:rsidRPr="001671F1">
        <w:rPr>
          <w:rFonts w:cs="Times New Roman"/>
          <w:i/>
          <w:iCs/>
          <w:kern w:val="36"/>
          <w:lang w:eastAsia="en-GB"/>
        </w:rPr>
        <w:t>44, No1, pp79-91.</w:t>
      </w:r>
    </w:p>
    <w:p w:rsidR="004F1193" w:rsidRPr="001671F1" w:rsidRDefault="00573901" w:rsidP="001671F1">
      <w:pPr>
        <w:spacing w:after="0" w:line="240" w:lineRule="auto"/>
        <w:ind w:left="425" w:hanging="425"/>
        <w:rPr>
          <w:rFonts w:eastAsia="Calibri" w:cs="Arial"/>
        </w:rPr>
      </w:pPr>
      <w:r w:rsidRPr="001671F1">
        <w:rPr>
          <w:rFonts w:eastAsia="Calibri" w:cs="Arial"/>
        </w:rPr>
        <w:t>Gillett, A. and Hammond, A. (2009)</w:t>
      </w:r>
      <w:r w:rsidR="00524FB7">
        <w:rPr>
          <w:rFonts w:eastAsia="Calibri" w:cs="Arial"/>
        </w:rPr>
        <w:t xml:space="preserve"> Mapping the maze of assessment,</w:t>
      </w:r>
      <w:r w:rsidRPr="001671F1">
        <w:rPr>
          <w:rFonts w:eastAsia="Calibri" w:cs="Arial"/>
        </w:rPr>
        <w:t xml:space="preserve"> </w:t>
      </w:r>
      <w:r w:rsidRPr="001671F1">
        <w:rPr>
          <w:rFonts w:eastAsia="Calibri" w:cs="Arial"/>
          <w:i/>
        </w:rPr>
        <w:t>Active Learning in Higher Education</w:t>
      </w:r>
      <w:r w:rsidRPr="001671F1">
        <w:rPr>
          <w:rFonts w:eastAsia="Calibri" w:cs="Arial"/>
        </w:rPr>
        <w:t>. 10(2);120-137</w:t>
      </w:r>
    </w:p>
    <w:p w:rsidR="0071761B" w:rsidRPr="001671F1" w:rsidRDefault="0071761B" w:rsidP="001671F1">
      <w:pPr>
        <w:spacing w:after="0" w:line="240" w:lineRule="auto"/>
        <w:ind w:left="425" w:hanging="425"/>
        <w:rPr>
          <w:rFonts w:eastAsia="Calibri" w:cs="Arial"/>
        </w:rPr>
      </w:pPr>
      <w:r w:rsidRPr="001671F1">
        <w:rPr>
          <w:rFonts w:cs="Times New Roman"/>
          <w:kern w:val="36"/>
          <w:lang w:eastAsia="en-GB"/>
        </w:rPr>
        <w:lastRenderedPageBreak/>
        <w:t xml:space="preserve">Institute of Education (2006) Masters level criteria for Geography PGCE </w:t>
      </w:r>
      <w:hyperlink r:id="rId7" w:history="1">
        <w:r w:rsidRPr="001671F1">
          <w:rPr>
            <w:rStyle w:val="Hyperlink"/>
            <w:rFonts w:cs="Times New Roman"/>
            <w:kern w:val="36"/>
            <w:lang w:eastAsia="en-GB"/>
          </w:rPr>
          <w:t>http://www.geography.org.uk/download/GA_PRGTIPBrooksMLevelCriteria.pdf</w:t>
        </w:r>
      </w:hyperlink>
      <w:r w:rsidRPr="001671F1">
        <w:rPr>
          <w:rFonts w:cs="Times New Roman"/>
          <w:kern w:val="36"/>
          <w:lang w:eastAsia="en-GB"/>
        </w:rPr>
        <w:t xml:space="preserve"> Accessed March 2012</w:t>
      </w:r>
    </w:p>
    <w:p w:rsidR="00573901" w:rsidRPr="001671F1" w:rsidRDefault="00573901" w:rsidP="001671F1">
      <w:pPr>
        <w:spacing w:after="0" w:line="240" w:lineRule="auto"/>
        <w:ind w:left="425" w:hanging="425"/>
        <w:rPr>
          <w:rFonts w:eastAsia="Calibri" w:cs="Arial"/>
        </w:rPr>
      </w:pPr>
      <w:r w:rsidRPr="001671F1">
        <w:rPr>
          <w:rFonts w:eastAsia="Calibri" w:cs="Arial"/>
        </w:rPr>
        <w:t xml:space="preserve">Knight, P. (2002) Summative Assessment in Higher Education: practices in disarray. </w:t>
      </w:r>
      <w:r w:rsidRPr="001671F1">
        <w:rPr>
          <w:rFonts w:eastAsia="Calibri" w:cs="Arial"/>
          <w:i/>
        </w:rPr>
        <w:t>Studies in Higher Education</w:t>
      </w:r>
      <w:r w:rsidRPr="001671F1">
        <w:rPr>
          <w:rFonts w:eastAsia="Calibri" w:cs="Arial"/>
        </w:rPr>
        <w:t>. 27(3):275-286</w:t>
      </w:r>
    </w:p>
    <w:p w:rsidR="0071761B" w:rsidRPr="001671F1" w:rsidRDefault="0071761B" w:rsidP="001671F1">
      <w:pPr>
        <w:spacing w:after="0" w:line="240" w:lineRule="auto"/>
        <w:ind w:left="425" w:hanging="425"/>
        <w:rPr>
          <w:rFonts w:cs="Times New Roman"/>
          <w:kern w:val="36"/>
          <w:lang w:eastAsia="en-GB"/>
        </w:rPr>
      </w:pPr>
      <w:r w:rsidRPr="001671F1">
        <w:rPr>
          <w:rFonts w:cs="Times New Roman"/>
          <w:kern w:val="36"/>
          <w:lang w:eastAsia="en-GB"/>
        </w:rPr>
        <w:t xml:space="preserve">Lord, D. (2008) Learning to Teach a Specialist Subject: Using New Technologies and Achieving Masters Level Criteria. In: </w:t>
      </w:r>
      <w:r w:rsidRPr="001671F1">
        <w:rPr>
          <w:rFonts w:cs="Times New Roman"/>
          <w:i/>
          <w:iCs/>
          <w:kern w:val="36"/>
          <w:lang w:eastAsia="en-GB"/>
        </w:rPr>
        <w:t xml:space="preserve">MOTIVATE conference 2008, 11 - 12th November 2008, </w:t>
      </w:r>
      <w:proofErr w:type="spellStart"/>
      <w:r w:rsidRPr="001671F1">
        <w:rPr>
          <w:rFonts w:cs="Times New Roman"/>
          <w:i/>
          <w:iCs/>
          <w:kern w:val="36"/>
          <w:lang w:eastAsia="en-GB"/>
        </w:rPr>
        <w:t>Dunaujvaros</w:t>
      </w:r>
      <w:proofErr w:type="spellEnd"/>
      <w:r w:rsidRPr="001671F1">
        <w:rPr>
          <w:rFonts w:cs="Times New Roman"/>
          <w:i/>
          <w:iCs/>
          <w:kern w:val="36"/>
          <w:lang w:eastAsia="en-GB"/>
        </w:rPr>
        <w:t>, Budapest.</w:t>
      </w:r>
      <w:r w:rsidRPr="001671F1">
        <w:rPr>
          <w:rFonts w:cs="Times New Roman"/>
          <w:kern w:val="36"/>
          <w:lang w:eastAsia="en-GB"/>
        </w:rPr>
        <w:t xml:space="preserve"> (Unpublished) This version is available at </w:t>
      </w:r>
      <w:hyperlink r:id="rId8" w:history="1">
        <w:r w:rsidRPr="001671F1">
          <w:rPr>
            <w:rStyle w:val="Hyperlink"/>
            <w:rFonts w:cs="Times New Roman"/>
            <w:kern w:val="36"/>
            <w:lang w:eastAsia="en-GB"/>
          </w:rPr>
          <w:t>http://eprints.hud.ac.uk/10892/</w:t>
        </w:r>
      </w:hyperlink>
      <w:r w:rsidRPr="001671F1">
        <w:rPr>
          <w:rFonts w:cs="Times New Roman"/>
          <w:kern w:val="36"/>
          <w:lang w:eastAsia="en-GB"/>
        </w:rPr>
        <w:t xml:space="preserve"> Accessed march 2012.</w:t>
      </w:r>
    </w:p>
    <w:p w:rsidR="0071761B" w:rsidRPr="001671F1" w:rsidRDefault="0071761B" w:rsidP="001671F1">
      <w:pPr>
        <w:spacing w:after="0" w:line="240" w:lineRule="auto"/>
        <w:ind w:left="425" w:hanging="425"/>
        <w:rPr>
          <w:rFonts w:cs="Times New Roman"/>
          <w:kern w:val="36"/>
          <w:lang w:eastAsia="en-GB"/>
        </w:rPr>
      </w:pPr>
      <w:r w:rsidRPr="001671F1">
        <w:rPr>
          <w:rFonts w:cs="Times New Roman"/>
          <w:kern w:val="36"/>
          <w:lang w:eastAsia="en-GB"/>
        </w:rPr>
        <w:t xml:space="preserve">NZQA (2007) </w:t>
      </w:r>
      <w:hyperlink r:id="rId9" w:history="1">
        <w:r w:rsidRPr="001671F1">
          <w:rPr>
            <w:rStyle w:val="Hyperlink"/>
            <w:rFonts w:cs="Times New Roman"/>
            <w:kern w:val="36"/>
            <w:lang w:eastAsia="en-GB"/>
          </w:rPr>
          <w:t>http://www.nzqa.govt.nz/assets/Studying-in-NZ/New-Zealand-Qualification-Framework/theregister-booklet.pdf (accessed March 2012</w:t>
        </w:r>
      </w:hyperlink>
      <w:r w:rsidRPr="001671F1">
        <w:rPr>
          <w:rFonts w:cs="Times New Roman"/>
        </w:rPr>
        <w:t>.</w:t>
      </w:r>
    </w:p>
    <w:p w:rsidR="00573901" w:rsidRPr="001671F1" w:rsidRDefault="00573901" w:rsidP="001671F1">
      <w:pPr>
        <w:spacing w:after="0" w:line="240" w:lineRule="auto"/>
        <w:ind w:left="425" w:hanging="425"/>
        <w:rPr>
          <w:rFonts w:eastAsia="Calibri" w:cs="Arial"/>
        </w:rPr>
      </w:pPr>
      <w:proofErr w:type="spellStart"/>
      <w:r w:rsidRPr="001671F1">
        <w:rPr>
          <w:rFonts w:eastAsia="Calibri" w:cs="Arial"/>
        </w:rPr>
        <w:t>Pegg</w:t>
      </w:r>
      <w:proofErr w:type="spellEnd"/>
      <w:r w:rsidRPr="001671F1">
        <w:rPr>
          <w:rFonts w:eastAsia="Calibri" w:cs="Arial"/>
        </w:rPr>
        <w:t xml:space="preserve">, A., </w:t>
      </w:r>
      <w:proofErr w:type="spellStart"/>
      <w:r w:rsidRPr="001671F1">
        <w:rPr>
          <w:rFonts w:eastAsia="Calibri" w:cs="Arial"/>
        </w:rPr>
        <w:t>Waldock</w:t>
      </w:r>
      <w:proofErr w:type="spellEnd"/>
      <w:r w:rsidRPr="001671F1">
        <w:rPr>
          <w:rFonts w:eastAsia="Calibri" w:cs="Arial"/>
        </w:rPr>
        <w:t xml:space="preserve">, J., Hendy-Isaac, S., and Lawton, R. (2012) </w:t>
      </w:r>
      <w:r w:rsidRPr="001671F1">
        <w:rPr>
          <w:rFonts w:eastAsia="Calibri" w:cs="Arial"/>
          <w:i/>
        </w:rPr>
        <w:t>Pedagogy for employability</w:t>
      </w:r>
      <w:r w:rsidR="00524FB7">
        <w:rPr>
          <w:rFonts w:eastAsia="Calibri" w:cs="Arial"/>
        </w:rPr>
        <w:t>,</w:t>
      </w:r>
      <w:r w:rsidRPr="001671F1">
        <w:rPr>
          <w:rFonts w:eastAsia="Calibri" w:cs="Arial"/>
        </w:rPr>
        <w:t xml:space="preserve"> York: HEA</w:t>
      </w:r>
    </w:p>
    <w:p w:rsidR="0071761B" w:rsidRPr="001671F1" w:rsidRDefault="0071761B" w:rsidP="001671F1">
      <w:pPr>
        <w:pStyle w:val="Heading1"/>
        <w:shd w:val="clear" w:color="auto" w:fill="FFFFFF"/>
        <w:spacing w:before="0" w:after="0" w:line="240" w:lineRule="auto"/>
        <w:ind w:left="425" w:hanging="425"/>
        <w:rPr>
          <w:rFonts w:asciiTheme="minorHAnsi" w:hAnsiTheme="minorHAnsi"/>
          <w:color w:val="auto"/>
          <w:sz w:val="22"/>
          <w:szCs w:val="22"/>
        </w:rPr>
      </w:pPr>
      <w:r w:rsidRPr="001671F1">
        <w:rPr>
          <w:rFonts w:asciiTheme="minorHAnsi" w:hAnsiTheme="minorHAnsi"/>
          <w:color w:val="auto"/>
          <w:sz w:val="22"/>
          <w:szCs w:val="22"/>
        </w:rPr>
        <w:t xml:space="preserve">Price, M., Rust, C., O’Donovan, B., Handley, K and Bryant, R. (2012) </w:t>
      </w:r>
      <w:r w:rsidRPr="001671F1">
        <w:rPr>
          <w:rFonts w:asciiTheme="minorHAnsi" w:hAnsiTheme="minorHAnsi"/>
          <w:i/>
          <w:iCs/>
          <w:color w:val="auto"/>
          <w:sz w:val="22"/>
          <w:szCs w:val="22"/>
        </w:rPr>
        <w:t>Assessment Literacy The Foundation for Improving Student Learning</w:t>
      </w:r>
      <w:r w:rsidRPr="001671F1">
        <w:rPr>
          <w:rFonts w:asciiTheme="minorHAnsi" w:hAnsiTheme="minorHAnsi"/>
          <w:color w:val="auto"/>
          <w:sz w:val="22"/>
          <w:szCs w:val="22"/>
        </w:rPr>
        <w:t>, Oxford: Oxford Centre for Staff and Learning Development, Oxford Brookes University.</w:t>
      </w:r>
    </w:p>
    <w:p w:rsidR="0071761B" w:rsidRPr="001671F1" w:rsidRDefault="0071761B" w:rsidP="001671F1">
      <w:pPr>
        <w:spacing w:after="0" w:line="240" w:lineRule="auto"/>
        <w:ind w:left="425" w:hanging="425"/>
        <w:rPr>
          <w:rFonts w:cs="Times New Roman"/>
          <w:kern w:val="36"/>
          <w:lang w:eastAsia="en-GB"/>
        </w:rPr>
      </w:pPr>
      <w:r w:rsidRPr="001671F1">
        <w:rPr>
          <w:rFonts w:cs="Times New Roman"/>
          <w:bCs/>
          <w:kern w:val="36"/>
          <w:lang w:eastAsia="en-GB"/>
        </w:rPr>
        <w:t>QAA (2010) Masters Degree Characteristics</w:t>
      </w:r>
    </w:p>
    <w:p w:rsidR="0071761B" w:rsidRPr="001671F1" w:rsidRDefault="009E49C6" w:rsidP="001671F1">
      <w:pPr>
        <w:spacing w:after="0" w:line="240" w:lineRule="auto"/>
        <w:ind w:left="425" w:hanging="425"/>
        <w:rPr>
          <w:rFonts w:cs="Times New Roman"/>
          <w:kern w:val="36"/>
          <w:lang w:eastAsia="en-GB"/>
        </w:rPr>
      </w:pPr>
      <w:hyperlink r:id="rId10" w:history="1">
        <w:r w:rsidR="0071761B" w:rsidRPr="001671F1">
          <w:rPr>
            <w:rStyle w:val="Hyperlink"/>
            <w:rFonts w:cs="Times New Roman"/>
            <w:bCs/>
            <w:kern w:val="36"/>
            <w:lang w:eastAsia="en-GB"/>
          </w:rPr>
          <w:t>http://www.qaa.ac.uk/academicinfrastructure/benchmark/masters/MastersDegreeCharacteristics.pdf</w:t>
        </w:r>
      </w:hyperlink>
      <w:r w:rsidR="0071761B" w:rsidRPr="001671F1">
        <w:rPr>
          <w:rFonts w:cs="Times New Roman"/>
          <w:bCs/>
          <w:kern w:val="36"/>
          <w:lang w:eastAsia="en-GB"/>
        </w:rPr>
        <w:t xml:space="preserve"> </w:t>
      </w:r>
    </w:p>
    <w:p w:rsidR="004F1193" w:rsidRPr="001671F1" w:rsidRDefault="004F1193" w:rsidP="001671F1">
      <w:pPr>
        <w:spacing w:after="0" w:line="240" w:lineRule="auto"/>
        <w:ind w:left="425" w:hanging="425"/>
        <w:rPr>
          <w:rFonts w:cs="Times New Roman"/>
          <w:i/>
          <w:iCs/>
          <w:kern w:val="36"/>
          <w:lang w:eastAsia="en-GB"/>
        </w:rPr>
      </w:pPr>
      <w:r w:rsidRPr="001671F1">
        <w:rPr>
          <w:rFonts w:cs="Times New Roman"/>
          <w:iCs/>
          <w:kern w:val="36"/>
          <w:lang w:eastAsia="en-GB"/>
        </w:rPr>
        <w:t>Sadler, D</w:t>
      </w:r>
      <w:r w:rsidR="00524FB7">
        <w:rPr>
          <w:rFonts w:cs="Times New Roman"/>
          <w:iCs/>
          <w:kern w:val="36"/>
          <w:lang w:eastAsia="en-GB"/>
        </w:rPr>
        <w:t>.</w:t>
      </w:r>
      <w:r w:rsidRPr="001671F1">
        <w:rPr>
          <w:rFonts w:cs="Times New Roman"/>
          <w:iCs/>
          <w:kern w:val="36"/>
          <w:lang w:eastAsia="en-GB"/>
        </w:rPr>
        <w:t xml:space="preserve"> R</w:t>
      </w:r>
      <w:r w:rsidR="00524FB7">
        <w:rPr>
          <w:rFonts w:cs="Times New Roman"/>
          <w:iCs/>
          <w:kern w:val="36"/>
          <w:lang w:eastAsia="en-GB"/>
        </w:rPr>
        <w:t>.</w:t>
      </w:r>
      <w:r w:rsidRPr="001671F1">
        <w:rPr>
          <w:rFonts w:cs="Times New Roman"/>
          <w:iCs/>
          <w:kern w:val="36"/>
          <w:lang w:eastAsia="en-GB"/>
        </w:rPr>
        <w:t xml:space="preserve"> (1989)</w:t>
      </w:r>
      <w:r w:rsidRPr="001671F1">
        <w:rPr>
          <w:rFonts w:cs="Times New Roman"/>
          <w:i/>
          <w:iCs/>
          <w:kern w:val="36"/>
          <w:lang w:eastAsia="en-GB"/>
        </w:rPr>
        <w:t xml:space="preserve"> </w:t>
      </w:r>
      <w:r w:rsidRPr="00524FB7">
        <w:rPr>
          <w:rFonts w:cs="Times New Roman"/>
          <w:iCs/>
          <w:kern w:val="36"/>
          <w:lang w:eastAsia="en-GB"/>
        </w:rPr>
        <w:t>Formative assessment and the design of instructional systems</w:t>
      </w:r>
      <w:r w:rsidR="00524FB7">
        <w:rPr>
          <w:rFonts w:cs="Times New Roman"/>
          <w:iCs/>
          <w:kern w:val="36"/>
          <w:lang w:eastAsia="en-GB"/>
        </w:rPr>
        <w:t>,</w:t>
      </w:r>
      <w:r w:rsidRPr="00524FB7">
        <w:rPr>
          <w:rFonts w:cs="Times New Roman"/>
          <w:iCs/>
          <w:kern w:val="36"/>
          <w:lang w:eastAsia="en-GB"/>
        </w:rPr>
        <w:t xml:space="preserve"> </w:t>
      </w:r>
      <w:r w:rsidRPr="00524FB7">
        <w:rPr>
          <w:rFonts w:cs="Times New Roman"/>
          <w:i/>
          <w:iCs/>
          <w:kern w:val="36"/>
          <w:lang w:eastAsia="en-GB"/>
        </w:rPr>
        <w:t>Instructional Science</w:t>
      </w:r>
      <w:r w:rsidRPr="001671F1">
        <w:rPr>
          <w:rFonts w:cs="Times New Roman"/>
          <w:iCs/>
          <w:kern w:val="36"/>
          <w:lang w:eastAsia="en-GB"/>
        </w:rPr>
        <w:t xml:space="preserve"> 18, 119-144.</w:t>
      </w:r>
    </w:p>
    <w:p w:rsidR="0071761B" w:rsidRPr="001671F1" w:rsidRDefault="0071761B" w:rsidP="001671F1">
      <w:pPr>
        <w:spacing w:after="0" w:line="240" w:lineRule="auto"/>
        <w:ind w:left="425" w:hanging="425"/>
        <w:rPr>
          <w:rFonts w:cs="Times New Roman"/>
        </w:rPr>
      </w:pPr>
      <w:proofErr w:type="spellStart"/>
      <w:r w:rsidRPr="001671F1">
        <w:rPr>
          <w:rFonts w:cs="Times New Roman"/>
        </w:rPr>
        <w:t>Sambell</w:t>
      </w:r>
      <w:proofErr w:type="spellEnd"/>
      <w:r w:rsidRPr="001671F1">
        <w:rPr>
          <w:rFonts w:cs="Times New Roman"/>
        </w:rPr>
        <w:t xml:space="preserve">, K., McDowell, L. and Montgomery, C. (2013) </w:t>
      </w:r>
      <w:r w:rsidRPr="001671F1">
        <w:rPr>
          <w:rFonts w:cs="Times New Roman"/>
          <w:i/>
          <w:iCs/>
        </w:rPr>
        <w:t>Assessment for learning in Higher Education,</w:t>
      </w:r>
      <w:r w:rsidRPr="001671F1">
        <w:rPr>
          <w:rFonts w:cs="Times New Roman"/>
        </w:rPr>
        <w:t xml:space="preserve"> Abingdon: Routledge.</w:t>
      </w:r>
    </w:p>
    <w:p w:rsidR="0071761B" w:rsidRPr="001671F1" w:rsidRDefault="0071761B" w:rsidP="001671F1">
      <w:pPr>
        <w:spacing w:after="0" w:line="240" w:lineRule="auto"/>
        <w:ind w:left="425" w:hanging="425"/>
        <w:rPr>
          <w:rFonts w:cs="Times New Roman"/>
          <w:kern w:val="36"/>
          <w:lang w:eastAsia="en-GB"/>
        </w:rPr>
      </w:pPr>
      <w:r w:rsidRPr="001671F1">
        <w:rPr>
          <w:rFonts w:cs="Times New Roman"/>
          <w:kern w:val="36"/>
          <w:lang w:eastAsia="en-GB"/>
        </w:rPr>
        <w:t xml:space="preserve">Seymour, D. (2005) Learning Outcomes and Assessment: developing assessment criteria for Masters-level dissertations. </w:t>
      </w:r>
      <w:r w:rsidRPr="001671F1">
        <w:rPr>
          <w:rFonts w:cs="Times New Roman"/>
          <w:i/>
          <w:iCs/>
          <w:kern w:val="36"/>
          <w:lang w:eastAsia="en-GB"/>
        </w:rPr>
        <w:t xml:space="preserve">Brookes </w:t>
      </w:r>
      <w:proofErr w:type="spellStart"/>
      <w:r w:rsidRPr="001671F1">
        <w:rPr>
          <w:rFonts w:cs="Times New Roman"/>
          <w:i/>
          <w:iCs/>
          <w:kern w:val="36"/>
          <w:lang w:eastAsia="en-GB"/>
        </w:rPr>
        <w:t>eJournal</w:t>
      </w:r>
      <w:proofErr w:type="spellEnd"/>
      <w:r w:rsidRPr="001671F1">
        <w:rPr>
          <w:rFonts w:cs="Times New Roman"/>
          <w:i/>
          <w:iCs/>
          <w:kern w:val="36"/>
          <w:lang w:eastAsia="en-GB"/>
        </w:rPr>
        <w:t xml:space="preserve"> of Learning and Teaching</w:t>
      </w:r>
      <w:r w:rsidRPr="001671F1">
        <w:rPr>
          <w:rFonts w:cs="Times New Roman"/>
          <w:kern w:val="36"/>
          <w:lang w:eastAsia="en-GB"/>
        </w:rPr>
        <w:t xml:space="preserve"> 1(2).</w:t>
      </w:r>
    </w:p>
    <w:p w:rsidR="004F1193" w:rsidRPr="001671F1" w:rsidRDefault="0071761B" w:rsidP="001671F1">
      <w:pPr>
        <w:spacing w:after="0" w:line="240" w:lineRule="auto"/>
        <w:ind w:left="425" w:hanging="425"/>
        <w:rPr>
          <w:rFonts w:cs="Times New Roman"/>
          <w:i/>
          <w:iCs/>
          <w:kern w:val="36"/>
          <w:lang w:eastAsia="en-GB"/>
        </w:rPr>
      </w:pPr>
      <w:r w:rsidRPr="001671F1">
        <w:rPr>
          <w:rFonts w:cs="Times New Roman"/>
          <w:kern w:val="36"/>
          <w:lang w:eastAsia="en-GB"/>
        </w:rPr>
        <w:t xml:space="preserve">Wharton, S. (2003) Defining appropriate criteria for the assessment of master's level TESOL Assignments, </w:t>
      </w:r>
      <w:r w:rsidRPr="001671F1">
        <w:rPr>
          <w:rFonts w:cs="Times New Roman"/>
          <w:i/>
          <w:iCs/>
          <w:kern w:val="36"/>
          <w:lang w:eastAsia="en-GB"/>
        </w:rPr>
        <w:t>Assessment &amp; Evaluation in Higher Education</w:t>
      </w:r>
      <w:r w:rsidRPr="001671F1">
        <w:rPr>
          <w:rFonts w:cs="Times New Roman"/>
          <w:kern w:val="36"/>
          <w:lang w:eastAsia="en-GB"/>
        </w:rPr>
        <w:t xml:space="preserve">, </w:t>
      </w:r>
      <w:r w:rsidRPr="001671F1">
        <w:rPr>
          <w:rFonts w:cs="Times New Roman"/>
          <w:i/>
          <w:iCs/>
          <w:kern w:val="36"/>
          <w:lang w:eastAsia="en-GB"/>
        </w:rPr>
        <w:t>28(6), pp.649-664.</w:t>
      </w:r>
    </w:p>
    <w:p w:rsidR="004F1193" w:rsidRPr="001671F1" w:rsidRDefault="00433426" w:rsidP="001671F1">
      <w:pPr>
        <w:spacing w:after="0" w:line="240" w:lineRule="auto"/>
        <w:ind w:left="425" w:hanging="425"/>
        <w:rPr>
          <w:rFonts w:cs="Times New Roman"/>
          <w:i/>
          <w:iCs/>
          <w:kern w:val="36"/>
          <w:lang w:eastAsia="en-GB"/>
        </w:rPr>
      </w:pPr>
      <w:proofErr w:type="spellStart"/>
      <w:r w:rsidRPr="001671F1">
        <w:rPr>
          <w:rFonts w:cs="Times New Roman"/>
          <w:iCs/>
          <w:kern w:val="36"/>
          <w:lang w:eastAsia="en-GB"/>
        </w:rPr>
        <w:t>Yorke</w:t>
      </w:r>
      <w:proofErr w:type="spellEnd"/>
      <w:r w:rsidR="00524FB7">
        <w:rPr>
          <w:rFonts w:cs="Times New Roman"/>
          <w:iCs/>
          <w:kern w:val="36"/>
          <w:lang w:eastAsia="en-GB"/>
        </w:rPr>
        <w:t>, M.</w:t>
      </w:r>
      <w:r w:rsidRPr="001671F1">
        <w:rPr>
          <w:rFonts w:cs="Times New Roman"/>
          <w:iCs/>
          <w:kern w:val="36"/>
          <w:lang w:eastAsia="en-GB"/>
        </w:rPr>
        <w:t xml:space="preserve"> </w:t>
      </w:r>
      <w:r w:rsidR="00524FB7">
        <w:rPr>
          <w:rFonts w:cs="Times New Roman"/>
          <w:iCs/>
          <w:kern w:val="36"/>
          <w:lang w:eastAsia="en-GB"/>
        </w:rPr>
        <w:t>(</w:t>
      </w:r>
      <w:r w:rsidRPr="001671F1">
        <w:rPr>
          <w:rFonts w:cs="Times New Roman"/>
          <w:iCs/>
          <w:kern w:val="36"/>
          <w:lang w:eastAsia="en-GB"/>
        </w:rPr>
        <w:t>1999</w:t>
      </w:r>
      <w:r w:rsidR="00524FB7">
        <w:rPr>
          <w:rFonts w:cs="Times New Roman"/>
          <w:iCs/>
          <w:kern w:val="36"/>
          <w:lang w:eastAsia="en-GB"/>
        </w:rPr>
        <w:t>)</w:t>
      </w:r>
      <w:r w:rsidRPr="001671F1">
        <w:rPr>
          <w:rFonts w:cs="Times New Roman"/>
          <w:iCs/>
          <w:kern w:val="36"/>
          <w:lang w:eastAsia="en-GB"/>
        </w:rPr>
        <w:t>,</w:t>
      </w:r>
      <w:r w:rsidRPr="001671F1">
        <w:rPr>
          <w:rFonts w:cs="Times New Roman"/>
          <w:i/>
          <w:iCs/>
          <w:kern w:val="36"/>
          <w:lang w:eastAsia="en-GB"/>
        </w:rPr>
        <w:t xml:space="preserve"> Leaving Early: Undergraduate Non-Completion in Higher Education, </w:t>
      </w:r>
      <w:r w:rsidR="00524FB7">
        <w:rPr>
          <w:rFonts w:cs="Times New Roman"/>
          <w:iCs/>
          <w:kern w:val="36"/>
          <w:lang w:eastAsia="en-GB"/>
        </w:rPr>
        <w:t>London:</w:t>
      </w:r>
      <w:r w:rsidRPr="001671F1">
        <w:rPr>
          <w:rFonts w:cs="Times New Roman"/>
          <w:iCs/>
          <w:kern w:val="36"/>
          <w:lang w:eastAsia="en-GB"/>
        </w:rPr>
        <w:t xml:space="preserve"> Taylor and Francis.</w:t>
      </w:r>
    </w:p>
    <w:p w:rsidR="00667404" w:rsidRPr="001671F1" w:rsidRDefault="00433426" w:rsidP="001671F1">
      <w:pPr>
        <w:spacing w:after="0" w:line="240" w:lineRule="auto"/>
        <w:ind w:left="425" w:hanging="425"/>
        <w:rPr>
          <w:rFonts w:cs="Times New Roman"/>
          <w:i/>
          <w:iCs/>
          <w:kern w:val="36"/>
          <w:lang w:eastAsia="en-GB"/>
        </w:rPr>
      </w:pPr>
      <w:proofErr w:type="spellStart"/>
      <w:r w:rsidRPr="001671F1">
        <w:rPr>
          <w:rFonts w:cs="Times New Roman"/>
          <w:iCs/>
          <w:kern w:val="36"/>
          <w:lang w:eastAsia="en-GB"/>
        </w:rPr>
        <w:t>Yorke</w:t>
      </w:r>
      <w:proofErr w:type="spellEnd"/>
      <w:r w:rsidR="00524FB7">
        <w:rPr>
          <w:rFonts w:cs="Times New Roman"/>
          <w:iCs/>
          <w:kern w:val="36"/>
          <w:lang w:eastAsia="en-GB"/>
        </w:rPr>
        <w:t>,</w:t>
      </w:r>
      <w:r w:rsidRPr="001671F1">
        <w:rPr>
          <w:rFonts w:cs="Times New Roman"/>
          <w:iCs/>
          <w:kern w:val="36"/>
          <w:lang w:eastAsia="en-GB"/>
        </w:rPr>
        <w:t xml:space="preserve"> M</w:t>
      </w:r>
      <w:r w:rsidR="00524FB7">
        <w:rPr>
          <w:rFonts w:cs="Times New Roman"/>
          <w:iCs/>
          <w:kern w:val="36"/>
          <w:lang w:eastAsia="en-GB"/>
        </w:rPr>
        <w:t>.</w:t>
      </w:r>
      <w:r w:rsidRPr="001671F1">
        <w:rPr>
          <w:rFonts w:cs="Times New Roman"/>
          <w:iCs/>
          <w:kern w:val="36"/>
          <w:lang w:eastAsia="en-GB"/>
        </w:rPr>
        <w:t xml:space="preserve"> and </w:t>
      </w:r>
      <w:proofErr w:type="spellStart"/>
      <w:r w:rsidRPr="001671F1">
        <w:rPr>
          <w:rFonts w:cs="Times New Roman"/>
          <w:iCs/>
          <w:kern w:val="36"/>
          <w:lang w:eastAsia="en-GB"/>
        </w:rPr>
        <w:t>Longden</w:t>
      </w:r>
      <w:proofErr w:type="spellEnd"/>
      <w:r w:rsidR="00524FB7">
        <w:rPr>
          <w:rFonts w:cs="Times New Roman"/>
          <w:iCs/>
          <w:kern w:val="36"/>
          <w:lang w:eastAsia="en-GB"/>
        </w:rPr>
        <w:t>, B.</w:t>
      </w:r>
      <w:r w:rsidRPr="001671F1">
        <w:rPr>
          <w:rFonts w:cs="Times New Roman"/>
          <w:iCs/>
          <w:kern w:val="36"/>
          <w:lang w:eastAsia="en-GB"/>
        </w:rPr>
        <w:t xml:space="preserve"> </w:t>
      </w:r>
      <w:r w:rsidR="00524FB7">
        <w:rPr>
          <w:rFonts w:cs="Times New Roman"/>
          <w:iCs/>
          <w:kern w:val="36"/>
          <w:lang w:eastAsia="en-GB"/>
        </w:rPr>
        <w:t>(</w:t>
      </w:r>
      <w:r w:rsidRPr="001671F1">
        <w:rPr>
          <w:rFonts w:cs="Times New Roman"/>
          <w:iCs/>
          <w:kern w:val="36"/>
          <w:lang w:eastAsia="en-GB"/>
        </w:rPr>
        <w:t>2004</w:t>
      </w:r>
      <w:r w:rsidR="00524FB7">
        <w:rPr>
          <w:rFonts w:cs="Times New Roman"/>
          <w:iCs/>
          <w:kern w:val="36"/>
          <w:lang w:eastAsia="en-GB"/>
        </w:rPr>
        <w:t>)</w:t>
      </w:r>
      <w:r w:rsidRPr="001671F1">
        <w:rPr>
          <w:rFonts w:cs="Times New Roman"/>
          <w:i/>
          <w:iCs/>
          <w:kern w:val="36"/>
          <w:lang w:eastAsia="en-GB"/>
        </w:rPr>
        <w:t xml:space="preserve">, Retention and Student Success in Higher Education, </w:t>
      </w:r>
      <w:r w:rsidR="00524FB7">
        <w:rPr>
          <w:rFonts w:cs="Times New Roman"/>
          <w:iCs/>
          <w:kern w:val="36"/>
          <w:lang w:eastAsia="en-GB"/>
        </w:rPr>
        <w:t>Maidenhead:</w:t>
      </w:r>
      <w:r w:rsidRPr="001671F1">
        <w:rPr>
          <w:rFonts w:cs="Times New Roman"/>
          <w:iCs/>
          <w:kern w:val="36"/>
          <w:lang w:eastAsia="en-GB"/>
        </w:rPr>
        <w:t xml:space="preserve"> Open University Press</w:t>
      </w:r>
      <w:r w:rsidR="00524FB7">
        <w:rPr>
          <w:rFonts w:cs="Times New Roman"/>
          <w:iCs/>
          <w:kern w:val="36"/>
          <w:lang w:eastAsia="en-GB"/>
        </w:rPr>
        <w:t>.</w:t>
      </w:r>
    </w:p>
    <w:p w:rsidR="00CE0D03" w:rsidRDefault="00CE0D03" w:rsidP="001671F1">
      <w:pPr>
        <w:spacing w:after="0" w:line="240" w:lineRule="auto"/>
        <w:rPr>
          <w:rFonts w:cs="Times New Roman"/>
          <w:i/>
          <w:iCs/>
          <w:kern w:val="36"/>
          <w:sz w:val="24"/>
          <w:szCs w:val="24"/>
          <w:lang w:eastAsia="en-GB"/>
        </w:rPr>
      </w:pPr>
    </w:p>
    <w:p w:rsidR="006A5E76" w:rsidRDefault="006A5E76" w:rsidP="001671F1">
      <w:pPr>
        <w:spacing w:after="0" w:line="240" w:lineRule="auto"/>
        <w:rPr>
          <w:rFonts w:cs="Times New Roman"/>
          <w:i/>
          <w:iCs/>
          <w:kern w:val="36"/>
          <w:sz w:val="24"/>
          <w:szCs w:val="24"/>
          <w:lang w:eastAsia="en-GB"/>
        </w:rPr>
      </w:pPr>
    </w:p>
    <w:p w:rsidR="006A5E76" w:rsidRDefault="006A5E76" w:rsidP="001671F1">
      <w:pPr>
        <w:spacing w:after="0" w:line="240" w:lineRule="auto"/>
        <w:rPr>
          <w:rFonts w:cs="Times New Roman"/>
          <w:i/>
          <w:iCs/>
          <w:kern w:val="36"/>
          <w:sz w:val="24"/>
          <w:szCs w:val="24"/>
          <w:lang w:eastAsia="en-GB"/>
        </w:rPr>
      </w:pPr>
    </w:p>
    <w:p w:rsidR="006A5E76" w:rsidRDefault="006A5E76" w:rsidP="001671F1">
      <w:pPr>
        <w:spacing w:after="0" w:line="240" w:lineRule="auto"/>
        <w:rPr>
          <w:rFonts w:cs="Times New Roman"/>
          <w:i/>
          <w:iCs/>
          <w:kern w:val="36"/>
          <w:sz w:val="24"/>
          <w:szCs w:val="24"/>
          <w:lang w:eastAsia="en-GB"/>
        </w:rPr>
        <w:sectPr w:rsidR="006A5E76" w:rsidSect="00524FB7">
          <w:type w:val="continuous"/>
          <w:pgSz w:w="16838" w:h="11906" w:orient="landscape"/>
          <w:pgMar w:top="851" w:right="907" w:bottom="794" w:left="794" w:header="709" w:footer="709" w:gutter="0"/>
          <w:cols w:num="2" w:sep="1" w:space="397"/>
          <w:docGrid w:linePitch="360"/>
        </w:sectPr>
      </w:pPr>
    </w:p>
    <w:p w:rsidR="00843493" w:rsidRDefault="006A5E76" w:rsidP="006A5E76">
      <w:pPr>
        <w:spacing w:line="240" w:lineRule="auto"/>
        <w:jc w:val="center"/>
        <w:rPr>
          <w:b/>
          <w:sz w:val="56"/>
          <w:szCs w:val="24"/>
        </w:rPr>
      </w:pPr>
      <w:r w:rsidRPr="006A5E76">
        <w:rPr>
          <w:b/>
          <w:sz w:val="56"/>
          <w:szCs w:val="24"/>
        </w:rPr>
        <w:lastRenderedPageBreak/>
        <w:t>Diamond 9</w:t>
      </w:r>
    </w:p>
    <w:p w:rsidR="00E965E7" w:rsidRPr="006A5E76" w:rsidRDefault="00E965E7" w:rsidP="006A5E76">
      <w:pPr>
        <w:spacing w:line="240" w:lineRule="auto"/>
        <w:jc w:val="center"/>
        <w:rPr>
          <w:b/>
          <w:sz w:val="56"/>
          <w:szCs w:val="24"/>
        </w:rPr>
      </w:pPr>
    </w:p>
    <w:p w:rsidR="006A5E76" w:rsidRPr="004F1193" w:rsidRDefault="00E965E7" w:rsidP="004F1193">
      <w:pPr>
        <w:spacing w:line="240" w:lineRule="auto"/>
        <w:rPr>
          <w:sz w:val="24"/>
          <w:szCs w:val="24"/>
        </w:rPr>
      </w:pPr>
      <w:r w:rsidRPr="00E965E7">
        <w:rPr>
          <w:noProof/>
          <w:sz w:val="24"/>
          <w:szCs w:val="24"/>
          <w:lang w:eastAsia="en-GB"/>
        </w:rPr>
        <w:drawing>
          <wp:inline distT="0" distB="0" distL="0" distR="0">
            <wp:extent cx="9643565" cy="5390865"/>
            <wp:effectExtent l="0" t="0" r="0" b="0"/>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753002" cy="4187626"/>
                      <a:chOff x="539552" y="1628800"/>
                      <a:chExt cx="7753002" cy="4187626"/>
                    </a:xfrm>
                  </a:grpSpPr>
                  <a:sp>
                    <a:nvSpPr>
                      <a:cNvPr id="6" name="Rectangle 3"/>
                      <a:cNvSpPr>
                        <a:spLocks noChangeArrowheads="1"/>
                      </a:cNvSpPr>
                    </a:nvSpPr>
                    <a:spPr bwMode="auto">
                      <a:xfrm>
                        <a:off x="1691680" y="2564904"/>
                        <a:ext cx="2352402" cy="659234"/>
                      </a:xfrm>
                      <a:prstGeom prst="rect">
                        <a:avLst/>
                      </a:prstGeom>
                      <a:noFill/>
                      <a:ln w="12700">
                        <a:solidFill>
                          <a:schemeClr val="tx1"/>
                        </a:solidFill>
                        <a:miter lim="800000"/>
                        <a:headEnd/>
                        <a:tailEnd/>
                      </a:ln>
                      <a:effectLst/>
                    </a:spPr>
                    <a:txSp>
                      <a:txBody>
                        <a:bodyPr wrap="none" lIns="92075" tIns="46038" rIns="92075" bIns="46038" anchor="ctr"/>
                        <a:lstStyle>
                          <a:defPPr>
                            <a:defRPr lang="en-GB"/>
                          </a:defPPr>
                          <a:lvl1pPr algn="ctr" rtl="0" eaLnBrk="0" fontAlgn="base" hangingPunct="0">
                            <a:spcBef>
                              <a:spcPct val="0"/>
                            </a:spcBef>
                            <a:spcAft>
                              <a:spcPct val="0"/>
                            </a:spcAft>
                            <a:defRPr sz="2400" kern="1200">
                              <a:solidFill>
                                <a:schemeClr val="tx1"/>
                              </a:solidFill>
                              <a:latin typeface="Tahoma" pitchFamily="34" charset="0"/>
                              <a:ea typeface="+mn-ea"/>
                              <a:cs typeface="+mn-cs"/>
                            </a:defRPr>
                          </a:lvl1pPr>
                          <a:lvl2pPr marL="457200" algn="ctr" rtl="0" eaLnBrk="0" fontAlgn="base" hangingPunct="0">
                            <a:spcBef>
                              <a:spcPct val="0"/>
                            </a:spcBef>
                            <a:spcAft>
                              <a:spcPct val="0"/>
                            </a:spcAft>
                            <a:defRPr sz="2400" kern="1200">
                              <a:solidFill>
                                <a:schemeClr val="tx1"/>
                              </a:solidFill>
                              <a:latin typeface="Tahoma" pitchFamily="34" charset="0"/>
                              <a:ea typeface="+mn-ea"/>
                              <a:cs typeface="+mn-cs"/>
                            </a:defRPr>
                          </a:lvl2pPr>
                          <a:lvl3pPr marL="914400" algn="ctr" rtl="0" eaLnBrk="0" fontAlgn="base" hangingPunct="0">
                            <a:spcBef>
                              <a:spcPct val="0"/>
                            </a:spcBef>
                            <a:spcAft>
                              <a:spcPct val="0"/>
                            </a:spcAft>
                            <a:defRPr sz="2400" kern="1200">
                              <a:solidFill>
                                <a:schemeClr val="tx1"/>
                              </a:solidFill>
                              <a:latin typeface="Tahoma" pitchFamily="34" charset="0"/>
                              <a:ea typeface="+mn-ea"/>
                              <a:cs typeface="+mn-cs"/>
                            </a:defRPr>
                          </a:lvl3pPr>
                          <a:lvl4pPr marL="1371600" algn="ctr" rtl="0" eaLnBrk="0" fontAlgn="base" hangingPunct="0">
                            <a:spcBef>
                              <a:spcPct val="0"/>
                            </a:spcBef>
                            <a:spcAft>
                              <a:spcPct val="0"/>
                            </a:spcAft>
                            <a:defRPr sz="2400" kern="1200">
                              <a:solidFill>
                                <a:schemeClr val="tx1"/>
                              </a:solidFill>
                              <a:latin typeface="Tahoma" pitchFamily="34" charset="0"/>
                              <a:ea typeface="+mn-ea"/>
                              <a:cs typeface="+mn-cs"/>
                            </a:defRPr>
                          </a:lvl4pPr>
                          <a:lvl5pPr marL="1828800" algn="ctr" rtl="0" eaLnBrk="0" fontAlgn="base" hangingPunct="0">
                            <a:spcBef>
                              <a:spcPct val="0"/>
                            </a:spcBef>
                            <a:spcAft>
                              <a:spcPct val="0"/>
                            </a:spcAft>
                            <a:defRPr sz="2400" kern="1200">
                              <a:solidFill>
                                <a:schemeClr val="tx1"/>
                              </a:solidFill>
                              <a:latin typeface="Tahoma" pitchFamily="34" charset="0"/>
                              <a:ea typeface="+mn-ea"/>
                              <a:cs typeface="+mn-cs"/>
                            </a:defRPr>
                          </a:lvl5pPr>
                          <a:lvl6pPr marL="2286000" algn="l" defTabSz="914400" rtl="0" eaLnBrk="1" latinLnBrk="0" hangingPunct="1">
                            <a:defRPr sz="2400" kern="1200">
                              <a:solidFill>
                                <a:schemeClr val="tx1"/>
                              </a:solidFill>
                              <a:latin typeface="Tahoma" pitchFamily="34" charset="0"/>
                              <a:ea typeface="+mn-ea"/>
                              <a:cs typeface="+mn-cs"/>
                            </a:defRPr>
                          </a:lvl6pPr>
                          <a:lvl7pPr marL="2743200" algn="l" defTabSz="914400" rtl="0" eaLnBrk="1" latinLnBrk="0" hangingPunct="1">
                            <a:defRPr sz="2400" kern="1200">
                              <a:solidFill>
                                <a:schemeClr val="tx1"/>
                              </a:solidFill>
                              <a:latin typeface="Tahoma" pitchFamily="34" charset="0"/>
                              <a:ea typeface="+mn-ea"/>
                              <a:cs typeface="+mn-cs"/>
                            </a:defRPr>
                          </a:lvl7pPr>
                          <a:lvl8pPr marL="3200400" algn="l" defTabSz="914400" rtl="0" eaLnBrk="1" latinLnBrk="0" hangingPunct="1">
                            <a:defRPr sz="2400" kern="1200">
                              <a:solidFill>
                                <a:schemeClr val="tx1"/>
                              </a:solidFill>
                              <a:latin typeface="Tahoma" pitchFamily="34" charset="0"/>
                              <a:ea typeface="+mn-ea"/>
                              <a:cs typeface="+mn-cs"/>
                            </a:defRPr>
                          </a:lvl8pPr>
                          <a:lvl9pPr marL="3657600" algn="l" defTabSz="914400" rtl="0" eaLnBrk="1" latinLnBrk="0" hangingPunct="1">
                            <a:defRPr sz="2400" kern="1200">
                              <a:solidFill>
                                <a:schemeClr val="tx1"/>
                              </a:solidFill>
                              <a:latin typeface="Tahoma" pitchFamily="34" charset="0"/>
                              <a:ea typeface="+mn-ea"/>
                              <a:cs typeface="+mn-cs"/>
                            </a:defRPr>
                          </a:lvl9pPr>
                        </a:lstStyle>
                        <a:p>
                          <a:pPr algn="l"/>
                          <a:r>
                            <a:rPr lang="en-GB" sz="1400" b="1" dirty="0" smtClean="0">
                              <a:latin typeface="Comic Sans MS" pitchFamily="66" charset="0"/>
                            </a:rPr>
                            <a:t>2</a:t>
                          </a:r>
                        </a:p>
                        <a:p>
                          <a:pPr algn="l"/>
                          <a:endParaRPr lang="en-GB" sz="1400" b="1" dirty="0" smtClean="0">
                            <a:latin typeface="Comic Sans MS" pitchFamily="66" charset="0"/>
                          </a:endParaRPr>
                        </a:p>
                        <a:p>
                          <a:pPr algn="l"/>
                          <a:endParaRPr lang="en-GB" sz="1400" b="1" dirty="0" smtClean="0">
                            <a:latin typeface="Comic Sans MS" pitchFamily="66" charset="0"/>
                          </a:endParaRPr>
                        </a:p>
                      </a:txBody>
                      <a:useSpRect/>
                    </a:txSp>
                  </a:sp>
                  <a:sp>
                    <a:nvSpPr>
                      <a:cNvPr id="15" name="Rectangle 3"/>
                      <a:cNvSpPr>
                        <a:spLocks noChangeArrowheads="1"/>
                      </a:cNvSpPr>
                    </a:nvSpPr>
                    <a:spPr bwMode="auto">
                      <a:xfrm>
                        <a:off x="3275856" y="3429000"/>
                        <a:ext cx="2352402" cy="659234"/>
                      </a:xfrm>
                      <a:prstGeom prst="rect">
                        <a:avLst/>
                      </a:prstGeom>
                      <a:noFill/>
                      <a:ln w="12700">
                        <a:solidFill>
                          <a:schemeClr val="tx1"/>
                        </a:solidFill>
                        <a:miter lim="800000"/>
                        <a:headEnd/>
                        <a:tailEnd/>
                      </a:ln>
                      <a:effectLst/>
                    </a:spPr>
                    <a:txSp>
                      <a:txBody>
                        <a:bodyPr wrap="none" lIns="92075" tIns="46038" rIns="92075" bIns="46038" anchor="ctr"/>
                        <a:lstStyle>
                          <a:defPPr>
                            <a:defRPr lang="en-GB"/>
                          </a:defPPr>
                          <a:lvl1pPr algn="ctr" rtl="0" eaLnBrk="0" fontAlgn="base" hangingPunct="0">
                            <a:spcBef>
                              <a:spcPct val="0"/>
                            </a:spcBef>
                            <a:spcAft>
                              <a:spcPct val="0"/>
                            </a:spcAft>
                            <a:defRPr sz="2400" kern="1200">
                              <a:solidFill>
                                <a:schemeClr val="tx1"/>
                              </a:solidFill>
                              <a:latin typeface="Tahoma" pitchFamily="34" charset="0"/>
                              <a:ea typeface="+mn-ea"/>
                              <a:cs typeface="+mn-cs"/>
                            </a:defRPr>
                          </a:lvl1pPr>
                          <a:lvl2pPr marL="457200" algn="ctr" rtl="0" eaLnBrk="0" fontAlgn="base" hangingPunct="0">
                            <a:spcBef>
                              <a:spcPct val="0"/>
                            </a:spcBef>
                            <a:spcAft>
                              <a:spcPct val="0"/>
                            </a:spcAft>
                            <a:defRPr sz="2400" kern="1200">
                              <a:solidFill>
                                <a:schemeClr val="tx1"/>
                              </a:solidFill>
                              <a:latin typeface="Tahoma" pitchFamily="34" charset="0"/>
                              <a:ea typeface="+mn-ea"/>
                              <a:cs typeface="+mn-cs"/>
                            </a:defRPr>
                          </a:lvl2pPr>
                          <a:lvl3pPr marL="914400" algn="ctr" rtl="0" eaLnBrk="0" fontAlgn="base" hangingPunct="0">
                            <a:spcBef>
                              <a:spcPct val="0"/>
                            </a:spcBef>
                            <a:spcAft>
                              <a:spcPct val="0"/>
                            </a:spcAft>
                            <a:defRPr sz="2400" kern="1200">
                              <a:solidFill>
                                <a:schemeClr val="tx1"/>
                              </a:solidFill>
                              <a:latin typeface="Tahoma" pitchFamily="34" charset="0"/>
                              <a:ea typeface="+mn-ea"/>
                              <a:cs typeface="+mn-cs"/>
                            </a:defRPr>
                          </a:lvl3pPr>
                          <a:lvl4pPr marL="1371600" algn="ctr" rtl="0" eaLnBrk="0" fontAlgn="base" hangingPunct="0">
                            <a:spcBef>
                              <a:spcPct val="0"/>
                            </a:spcBef>
                            <a:spcAft>
                              <a:spcPct val="0"/>
                            </a:spcAft>
                            <a:defRPr sz="2400" kern="1200">
                              <a:solidFill>
                                <a:schemeClr val="tx1"/>
                              </a:solidFill>
                              <a:latin typeface="Tahoma" pitchFamily="34" charset="0"/>
                              <a:ea typeface="+mn-ea"/>
                              <a:cs typeface="+mn-cs"/>
                            </a:defRPr>
                          </a:lvl4pPr>
                          <a:lvl5pPr marL="1828800" algn="ctr" rtl="0" eaLnBrk="0" fontAlgn="base" hangingPunct="0">
                            <a:spcBef>
                              <a:spcPct val="0"/>
                            </a:spcBef>
                            <a:spcAft>
                              <a:spcPct val="0"/>
                            </a:spcAft>
                            <a:defRPr sz="2400" kern="1200">
                              <a:solidFill>
                                <a:schemeClr val="tx1"/>
                              </a:solidFill>
                              <a:latin typeface="Tahoma" pitchFamily="34" charset="0"/>
                              <a:ea typeface="+mn-ea"/>
                              <a:cs typeface="+mn-cs"/>
                            </a:defRPr>
                          </a:lvl5pPr>
                          <a:lvl6pPr marL="2286000" algn="l" defTabSz="914400" rtl="0" eaLnBrk="1" latinLnBrk="0" hangingPunct="1">
                            <a:defRPr sz="2400" kern="1200">
                              <a:solidFill>
                                <a:schemeClr val="tx1"/>
                              </a:solidFill>
                              <a:latin typeface="Tahoma" pitchFamily="34" charset="0"/>
                              <a:ea typeface="+mn-ea"/>
                              <a:cs typeface="+mn-cs"/>
                            </a:defRPr>
                          </a:lvl6pPr>
                          <a:lvl7pPr marL="2743200" algn="l" defTabSz="914400" rtl="0" eaLnBrk="1" latinLnBrk="0" hangingPunct="1">
                            <a:defRPr sz="2400" kern="1200">
                              <a:solidFill>
                                <a:schemeClr val="tx1"/>
                              </a:solidFill>
                              <a:latin typeface="Tahoma" pitchFamily="34" charset="0"/>
                              <a:ea typeface="+mn-ea"/>
                              <a:cs typeface="+mn-cs"/>
                            </a:defRPr>
                          </a:lvl7pPr>
                          <a:lvl8pPr marL="3200400" algn="l" defTabSz="914400" rtl="0" eaLnBrk="1" latinLnBrk="0" hangingPunct="1">
                            <a:defRPr sz="2400" kern="1200">
                              <a:solidFill>
                                <a:schemeClr val="tx1"/>
                              </a:solidFill>
                              <a:latin typeface="Tahoma" pitchFamily="34" charset="0"/>
                              <a:ea typeface="+mn-ea"/>
                              <a:cs typeface="+mn-cs"/>
                            </a:defRPr>
                          </a:lvl8pPr>
                          <a:lvl9pPr marL="3657600" algn="l" defTabSz="914400" rtl="0" eaLnBrk="1" latinLnBrk="0" hangingPunct="1">
                            <a:defRPr sz="2400" kern="1200">
                              <a:solidFill>
                                <a:schemeClr val="tx1"/>
                              </a:solidFill>
                              <a:latin typeface="Tahoma" pitchFamily="34" charset="0"/>
                              <a:ea typeface="+mn-ea"/>
                              <a:cs typeface="+mn-cs"/>
                            </a:defRPr>
                          </a:lvl9pPr>
                        </a:lstStyle>
                        <a:p>
                          <a:pPr algn="l"/>
                          <a:r>
                            <a:rPr lang="en-GB" sz="1400" b="1" dirty="0" smtClean="0">
                              <a:latin typeface="Comic Sans MS" pitchFamily="66" charset="0"/>
                            </a:rPr>
                            <a:t>3</a:t>
                          </a:r>
                        </a:p>
                        <a:p>
                          <a:pPr algn="l"/>
                          <a:endParaRPr lang="en-GB" sz="1400" b="1" dirty="0" smtClean="0">
                            <a:latin typeface="Comic Sans MS" pitchFamily="66" charset="0"/>
                          </a:endParaRPr>
                        </a:p>
                        <a:p>
                          <a:pPr algn="l"/>
                          <a:endParaRPr lang="en-GB" sz="1400" b="1" dirty="0" smtClean="0">
                            <a:latin typeface="Comic Sans MS" pitchFamily="66" charset="0"/>
                          </a:endParaRPr>
                        </a:p>
                      </a:txBody>
                      <a:useSpRect/>
                    </a:txSp>
                  </a:sp>
                  <a:sp>
                    <a:nvSpPr>
                      <a:cNvPr id="16" name="Rectangle 3"/>
                      <a:cNvSpPr>
                        <a:spLocks noChangeArrowheads="1"/>
                      </a:cNvSpPr>
                    </a:nvSpPr>
                    <a:spPr bwMode="auto">
                      <a:xfrm>
                        <a:off x="1763688" y="4293096"/>
                        <a:ext cx="2352402" cy="659234"/>
                      </a:xfrm>
                      <a:prstGeom prst="rect">
                        <a:avLst/>
                      </a:prstGeom>
                      <a:noFill/>
                      <a:ln w="12700">
                        <a:solidFill>
                          <a:schemeClr val="tx1"/>
                        </a:solidFill>
                        <a:miter lim="800000"/>
                        <a:headEnd/>
                        <a:tailEnd/>
                      </a:ln>
                      <a:effectLst/>
                    </a:spPr>
                    <a:txSp>
                      <a:txBody>
                        <a:bodyPr wrap="none" lIns="92075" tIns="46038" rIns="92075" bIns="46038" anchor="ctr"/>
                        <a:lstStyle>
                          <a:defPPr>
                            <a:defRPr lang="en-GB"/>
                          </a:defPPr>
                          <a:lvl1pPr algn="ctr" rtl="0" eaLnBrk="0" fontAlgn="base" hangingPunct="0">
                            <a:spcBef>
                              <a:spcPct val="0"/>
                            </a:spcBef>
                            <a:spcAft>
                              <a:spcPct val="0"/>
                            </a:spcAft>
                            <a:defRPr sz="2400" kern="1200">
                              <a:solidFill>
                                <a:schemeClr val="tx1"/>
                              </a:solidFill>
                              <a:latin typeface="Tahoma" pitchFamily="34" charset="0"/>
                              <a:ea typeface="+mn-ea"/>
                              <a:cs typeface="+mn-cs"/>
                            </a:defRPr>
                          </a:lvl1pPr>
                          <a:lvl2pPr marL="457200" algn="ctr" rtl="0" eaLnBrk="0" fontAlgn="base" hangingPunct="0">
                            <a:spcBef>
                              <a:spcPct val="0"/>
                            </a:spcBef>
                            <a:spcAft>
                              <a:spcPct val="0"/>
                            </a:spcAft>
                            <a:defRPr sz="2400" kern="1200">
                              <a:solidFill>
                                <a:schemeClr val="tx1"/>
                              </a:solidFill>
                              <a:latin typeface="Tahoma" pitchFamily="34" charset="0"/>
                              <a:ea typeface="+mn-ea"/>
                              <a:cs typeface="+mn-cs"/>
                            </a:defRPr>
                          </a:lvl2pPr>
                          <a:lvl3pPr marL="914400" algn="ctr" rtl="0" eaLnBrk="0" fontAlgn="base" hangingPunct="0">
                            <a:spcBef>
                              <a:spcPct val="0"/>
                            </a:spcBef>
                            <a:spcAft>
                              <a:spcPct val="0"/>
                            </a:spcAft>
                            <a:defRPr sz="2400" kern="1200">
                              <a:solidFill>
                                <a:schemeClr val="tx1"/>
                              </a:solidFill>
                              <a:latin typeface="Tahoma" pitchFamily="34" charset="0"/>
                              <a:ea typeface="+mn-ea"/>
                              <a:cs typeface="+mn-cs"/>
                            </a:defRPr>
                          </a:lvl3pPr>
                          <a:lvl4pPr marL="1371600" algn="ctr" rtl="0" eaLnBrk="0" fontAlgn="base" hangingPunct="0">
                            <a:spcBef>
                              <a:spcPct val="0"/>
                            </a:spcBef>
                            <a:spcAft>
                              <a:spcPct val="0"/>
                            </a:spcAft>
                            <a:defRPr sz="2400" kern="1200">
                              <a:solidFill>
                                <a:schemeClr val="tx1"/>
                              </a:solidFill>
                              <a:latin typeface="Tahoma" pitchFamily="34" charset="0"/>
                              <a:ea typeface="+mn-ea"/>
                              <a:cs typeface="+mn-cs"/>
                            </a:defRPr>
                          </a:lvl4pPr>
                          <a:lvl5pPr marL="1828800" algn="ctr" rtl="0" eaLnBrk="0" fontAlgn="base" hangingPunct="0">
                            <a:spcBef>
                              <a:spcPct val="0"/>
                            </a:spcBef>
                            <a:spcAft>
                              <a:spcPct val="0"/>
                            </a:spcAft>
                            <a:defRPr sz="2400" kern="1200">
                              <a:solidFill>
                                <a:schemeClr val="tx1"/>
                              </a:solidFill>
                              <a:latin typeface="Tahoma" pitchFamily="34" charset="0"/>
                              <a:ea typeface="+mn-ea"/>
                              <a:cs typeface="+mn-cs"/>
                            </a:defRPr>
                          </a:lvl5pPr>
                          <a:lvl6pPr marL="2286000" algn="l" defTabSz="914400" rtl="0" eaLnBrk="1" latinLnBrk="0" hangingPunct="1">
                            <a:defRPr sz="2400" kern="1200">
                              <a:solidFill>
                                <a:schemeClr val="tx1"/>
                              </a:solidFill>
                              <a:latin typeface="Tahoma" pitchFamily="34" charset="0"/>
                              <a:ea typeface="+mn-ea"/>
                              <a:cs typeface="+mn-cs"/>
                            </a:defRPr>
                          </a:lvl6pPr>
                          <a:lvl7pPr marL="2743200" algn="l" defTabSz="914400" rtl="0" eaLnBrk="1" latinLnBrk="0" hangingPunct="1">
                            <a:defRPr sz="2400" kern="1200">
                              <a:solidFill>
                                <a:schemeClr val="tx1"/>
                              </a:solidFill>
                              <a:latin typeface="Tahoma" pitchFamily="34" charset="0"/>
                              <a:ea typeface="+mn-ea"/>
                              <a:cs typeface="+mn-cs"/>
                            </a:defRPr>
                          </a:lvl7pPr>
                          <a:lvl8pPr marL="3200400" algn="l" defTabSz="914400" rtl="0" eaLnBrk="1" latinLnBrk="0" hangingPunct="1">
                            <a:defRPr sz="2400" kern="1200">
                              <a:solidFill>
                                <a:schemeClr val="tx1"/>
                              </a:solidFill>
                              <a:latin typeface="Tahoma" pitchFamily="34" charset="0"/>
                              <a:ea typeface="+mn-ea"/>
                              <a:cs typeface="+mn-cs"/>
                            </a:defRPr>
                          </a:lvl8pPr>
                          <a:lvl9pPr marL="3657600" algn="l" defTabSz="914400" rtl="0" eaLnBrk="1" latinLnBrk="0" hangingPunct="1">
                            <a:defRPr sz="2400" kern="1200">
                              <a:solidFill>
                                <a:schemeClr val="tx1"/>
                              </a:solidFill>
                              <a:latin typeface="Tahoma" pitchFamily="34" charset="0"/>
                              <a:ea typeface="+mn-ea"/>
                              <a:cs typeface="+mn-cs"/>
                            </a:defRPr>
                          </a:lvl9pPr>
                        </a:lstStyle>
                        <a:p>
                          <a:pPr algn="l"/>
                          <a:r>
                            <a:rPr lang="en-GB" sz="1400" b="1" dirty="0" smtClean="0">
                              <a:latin typeface="Comic Sans MS" pitchFamily="66" charset="0"/>
                            </a:rPr>
                            <a:t>4</a:t>
                          </a:r>
                        </a:p>
                        <a:p>
                          <a:pPr algn="l"/>
                          <a:endParaRPr lang="en-GB" sz="1400" b="1" dirty="0" smtClean="0">
                            <a:latin typeface="Comic Sans MS" pitchFamily="66" charset="0"/>
                          </a:endParaRPr>
                        </a:p>
                        <a:p>
                          <a:pPr algn="l"/>
                          <a:endParaRPr lang="en-GB" sz="1400" b="1" dirty="0" smtClean="0">
                            <a:latin typeface="Comic Sans MS" pitchFamily="66" charset="0"/>
                          </a:endParaRPr>
                        </a:p>
                      </a:txBody>
                      <a:useSpRect/>
                    </a:txSp>
                  </a:sp>
                  <a:sp>
                    <a:nvSpPr>
                      <a:cNvPr id="17" name="Rectangle 3"/>
                      <a:cNvSpPr>
                        <a:spLocks noChangeArrowheads="1"/>
                      </a:cNvSpPr>
                    </a:nvSpPr>
                    <a:spPr bwMode="auto">
                      <a:xfrm>
                        <a:off x="4716016" y="2564904"/>
                        <a:ext cx="2352402" cy="659234"/>
                      </a:xfrm>
                      <a:prstGeom prst="rect">
                        <a:avLst/>
                      </a:prstGeom>
                      <a:noFill/>
                      <a:ln w="12700">
                        <a:solidFill>
                          <a:schemeClr val="tx1"/>
                        </a:solidFill>
                        <a:miter lim="800000"/>
                        <a:headEnd/>
                        <a:tailEnd/>
                      </a:ln>
                      <a:effectLst/>
                    </a:spPr>
                    <a:txSp>
                      <a:txBody>
                        <a:bodyPr wrap="none" lIns="92075" tIns="46038" rIns="92075" bIns="46038" anchor="ctr"/>
                        <a:lstStyle>
                          <a:defPPr>
                            <a:defRPr lang="en-GB"/>
                          </a:defPPr>
                          <a:lvl1pPr algn="ctr" rtl="0" eaLnBrk="0" fontAlgn="base" hangingPunct="0">
                            <a:spcBef>
                              <a:spcPct val="0"/>
                            </a:spcBef>
                            <a:spcAft>
                              <a:spcPct val="0"/>
                            </a:spcAft>
                            <a:defRPr sz="2400" kern="1200">
                              <a:solidFill>
                                <a:schemeClr val="tx1"/>
                              </a:solidFill>
                              <a:latin typeface="Tahoma" pitchFamily="34" charset="0"/>
                              <a:ea typeface="+mn-ea"/>
                              <a:cs typeface="+mn-cs"/>
                            </a:defRPr>
                          </a:lvl1pPr>
                          <a:lvl2pPr marL="457200" algn="ctr" rtl="0" eaLnBrk="0" fontAlgn="base" hangingPunct="0">
                            <a:spcBef>
                              <a:spcPct val="0"/>
                            </a:spcBef>
                            <a:spcAft>
                              <a:spcPct val="0"/>
                            </a:spcAft>
                            <a:defRPr sz="2400" kern="1200">
                              <a:solidFill>
                                <a:schemeClr val="tx1"/>
                              </a:solidFill>
                              <a:latin typeface="Tahoma" pitchFamily="34" charset="0"/>
                              <a:ea typeface="+mn-ea"/>
                              <a:cs typeface="+mn-cs"/>
                            </a:defRPr>
                          </a:lvl2pPr>
                          <a:lvl3pPr marL="914400" algn="ctr" rtl="0" eaLnBrk="0" fontAlgn="base" hangingPunct="0">
                            <a:spcBef>
                              <a:spcPct val="0"/>
                            </a:spcBef>
                            <a:spcAft>
                              <a:spcPct val="0"/>
                            </a:spcAft>
                            <a:defRPr sz="2400" kern="1200">
                              <a:solidFill>
                                <a:schemeClr val="tx1"/>
                              </a:solidFill>
                              <a:latin typeface="Tahoma" pitchFamily="34" charset="0"/>
                              <a:ea typeface="+mn-ea"/>
                              <a:cs typeface="+mn-cs"/>
                            </a:defRPr>
                          </a:lvl3pPr>
                          <a:lvl4pPr marL="1371600" algn="ctr" rtl="0" eaLnBrk="0" fontAlgn="base" hangingPunct="0">
                            <a:spcBef>
                              <a:spcPct val="0"/>
                            </a:spcBef>
                            <a:spcAft>
                              <a:spcPct val="0"/>
                            </a:spcAft>
                            <a:defRPr sz="2400" kern="1200">
                              <a:solidFill>
                                <a:schemeClr val="tx1"/>
                              </a:solidFill>
                              <a:latin typeface="Tahoma" pitchFamily="34" charset="0"/>
                              <a:ea typeface="+mn-ea"/>
                              <a:cs typeface="+mn-cs"/>
                            </a:defRPr>
                          </a:lvl4pPr>
                          <a:lvl5pPr marL="1828800" algn="ctr" rtl="0" eaLnBrk="0" fontAlgn="base" hangingPunct="0">
                            <a:spcBef>
                              <a:spcPct val="0"/>
                            </a:spcBef>
                            <a:spcAft>
                              <a:spcPct val="0"/>
                            </a:spcAft>
                            <a:defRPr sz="2400" kern="1200">
                              <a:solidFill>
                                <a:schemeClr val="tx1"/>
                              </a:solidFill>
                              <a:latin typeface="Tahoma" pitchFamily="34" charset="0"/>
                              <a:ea typeface="+mn-ea"/>
                              <a:cs typeface="+mn-cs"/>
                            </a:defRPr>
                          </a:lvl5pPr>
                          <a:lvl6pPr marL="2286000" algn="l" defTabSz="914400" rtl="0" eaLnBrk="1" latinLnBrk="0" hangingPunct="1">
                            <a:defRPr sz="2400" kern="1200">
                              <a:solidFill>
                                <a:schemeClr val="tx1"/>
                              </a:solidFill>
                              <a:latin typeface="Tahoma" pitchFamily="34" charset="0"/>
                              <a:ea typeface="+mn-ea"/>
                              <a:cs typeface="+mn-cs"/>
                            </a:defRPr>
                          </a:lvl6pPr>
                          <a:lvl7pPr marL="2743200" algn="l" defTabSz="914400" rtl="0" eaLnBrk="1" latinLnBrk="0" hangingPunct="1">
                            <a:defRPr sz="2400" kern="1200">
                              <a:solidFill>
                                <a:schemeClr val="tx1"/>
                              </a:solidFill>
                              <a:latin typeface="Tahoma" pitchFamily="34" charset="0"/>
                              <a:ea typeface="+mn-ea"/>
                              <a:cs typeface="+mn-cs"/>
                            </a:defRPr>
                          </a:lvl7pPr>
                          <a:lvl8pPr marL="3200400" algn="l" defTabSz="914400" rtl="0" eaLnBrk="1" latinLnBrk="0" hangingPunct="1">
                            <a:defRPr sz="2400" kern="1200">
                              <a:solidFill>
                                <a:schemeClr val="tx1"/>
                              </a:solidFill>
                              <a:latin typeface="Tahoma" pitchFamily="34" charset="0"/>
                              <a:ea typeface="+mn-ea"/>
                              <a:cs typeface="+mn-cs"/>
                            </a:defRPr>
                          </a:lvl8pPr>
                          <a:lvl9pPr marL="3657600" algn="l" defTabSz="914400" rtl="0" eaLnBrk="1" latinLnBrk="0" hangingPunct="1">
                            <a:defRPr sz="2400" kern="1200">
                              <a:solidFill>
                                <a:schemeClr val="tx1"/>
                              </a:solidFill>
                              <a:latin typeface="Tahoma" pitchFamily="34" charset="0"/>
                              <a:ea typeface="+mn-ea"/>
                              <a:cs typeface="+mn-cs"/>
                            </a:defRPr>
                          </a:lvl9pPr>
                        </a:lstStyle>
                        <a:p>
                          <a:pPr algn="l"/>
                          <a:r>
                            <a:rPr lang="en-GB" sz="1400" b="1" dirty="0" smtClean="0">
                              <a:latin typeface="Comic Sans MS" pitchFamily="66" charset="0"/>
                            </a:rPr>
                            <a:t>2</a:t>
                          </a:r>
                        </a:p>
                        <a:p>
                          <a:pPr algn="l"/>
                          <a:endParaRPr lang="en-GB" sz="1400" b="1" dirty="0" smtClean="0">
                            <a:latin typeface="Comic Sans MS" pitchFamily="66" charset="0"/>
                          </a:endParaRPr>
                        </a:p>
                        <a:p>
                          <a:pPr algn="l"/>
                          <a:endParaRPr lang="en-GB" sz="1400" b="1" dirty="0" smtClean="0">
                            <a:latin typeface="Comic Sans MS" pitchFamily="66" charset="0"/>
                          </a:endParaRPr>
                        </a:p>
                      </a:txBody>
                      <a:useSpRect/>
                    </a:txSp>
                  </a:sp>
                  <a:sp>
                    <a:nvSpPr>
                      <a:cNvPr id="18" name="Rectangle 3"/>
                      <a:cNvSpPr>
                        <a:spLocks noChangeArrowheads="1"/>
                      </a:cNvSpPr>
                    </a:nvSpPr>
                    <a:spPr bwMode="auto">
                      <a:xfrm>
                        <a:off x="539552" y="3429000"/>
                        <a:ext cx="2352402" cy="659234"/>
                      </a:xfrm>
                      <a:prstGeom prst="rect">
                        <a:avLst/>
                      </a:prstGeom>
                      <a:noFill/>
                      <a:ln w="12700">
                        <a:solidFill>
                          <a:schemeClr val="tx1"/>
                        </a:solidFill>
                        <a:miter lim="800000"/>
                        <a:headEnd/>
                        <a:tailEnd/>
                      </a:ln>
                      <a:effectLst/>
                    </a:spPr>
                    <a:txSp>
                      <a:txBody>
                        <a:bodyPr wrap="none" lIns="92075" tIns="46038" rIns="92075" bIns="46038" anchor="ctr"/>
                        <a:lstStyle>
                          <a:defPPr>
                            <a:defRPr lang="en-GB"/>
                          </a:defPPr>
                          <a:lvl1pPr algn="ctr" rtl="0" eaLnBrk="0" fontAlgn="base" hangingPunct="0">
                            <a:spcBef>
                              <a:spcPct val="0"/>
                            </a:spcBef>
                            <a:spcAft>
                              <a:spcPct val="0"/>
                            </a:spcAft>
                            <a:defRPr sz="2400" kern="1200">
                              <a:solidFill>
                                <a:schemeClr val="tx1"/>
                              </a:solidFill>
                              <a:latin typeface="Tahoma" pitchFamily="34" charset="0"/>
                              <a:ea typeface="+mn-ea"/>
                              <a:cs typeface="+mn-cs"/>
                            </a:defRPr>
                          </a:lvl1pPr>
                          <a:lvl2pPr marL="457200" algn="ctr" rtl="0" eaLnBrk="0" fontAlgn="base" hangingPunct="0">
                            <a:spcBef>
                              <a:spcPct val="0"/>
                            </a:spcBef>
                            <a:spcAft>
                              <a:spcPct val="0"/>
                            </a:spcAft>
                            <a:defRPr sz="2400" kern="1200">
                              <a:solidFill>
                                <a:schemeClr val="tx1"/>
                              </a:solidFill>
                              <a:latin typeface="Tahoma" pitchFamily="34" charset="0"/>
                              <a:ea typeface="+mn-ea"/>
                              <a:cs typeface="+mn-cs"/>
                            </a:defRPr>
                          </a:lvl2pPr>
                          <a:lvl3pPr marL="914400" algn="ctr" rtl="0" eaLnBrk="0" fontAlgn="base" hangingPunct="0">
                            <a:spcBef>
                              <a:spcPct val="0"/>
                            </a:spcBef>
                            <a:spcAft>
                              <a:spcPct val="0"/>
                            </a:spcAft>
                            <a:defRPr sz="2400" kern="1200">
                              <a:solidFill>
                                <a:schemeClr val="tx1"/>
                              </a:solidFill>
                              <a:latin typeface="Tahoma" pitchFamily="34" charset="0"/>
                              <a:ea typeface="+mn-ea"/>
                              <a:cs typeface="+mn-cs"/>
                            </a:defRPr>
                          </a:lvl3pPr>
                          <a:lvl4pPr marL="1371600" algn="ctr" rtl="0" eaLnBrk="0" fontAlgn="base" hangingPunct="0">
                            <a:spcBef>
                              <a:spcPct val="0"/>
                            </a:spcBef>
                            <a:spcAft>
                              <a:spcPct val="0"/>
                            </a:spcAft>
                            <a:defRPr sz="2400" kern="1200">
                              <a:solidFill>
                                <a:schemeClr val="tx1"/>
                              </a:solidFill>
                              <a:latin typeface="Tahoma" pitchFamily="34" charset="0"/>
                              <a:ea typeface="+mn-ea"/>
                              <a:cs typeface="+mn-cs"/>
                            </a:defRPr>
                          </a:lvl4pPr>
                          <a:lvl5pPr marL="1828800" algn="ctr" rtl="0" eaLnBrk="0" fontAlgn="base" hangingPunct="0">
                            <a:spcBef>
                              <a:spcPct val="0"/>
                            </a:spcBef>
                            <a:spcAft>
                              <a:spcPct val="0"/>
                            </a:spcAft>
                            <a:defRPr sz="2400" kern="1200">
                              <a:solidFill>
                                <a:schemeClr val="tx1"/>
                              </a:solidFill>
                              <a:latin typeface="Tahoma" pitchFamily="34" charset="0"/>
                              <a:ea typeface="+mn-ea"/>
                              <a:cs typeface="+mn-cs"/>
                            </a:defRPr>
                          </a:lvl5pPr>
                          <a:lvl6pPr marL="2286000" algn="l" defTabSz="914400" rtl="0" eaLnBrk="1" latinLnBrk="0" hangingPunct="1">
                            <a:defRPr sz="2400" kern="1200">
                              <a:solidFill>
                                <a:schemeClr val="tx1"/>
                              </a:solidFill>
                              <a:latin typeface="Tahoma" pitchFamily="34" charset="0"/>
                              <a:ea typeface="+mn-ea"/>
                              <a:cs typeface="+mn-cs"/>
                            </a:defRPr>
                          </a:lvl6pPr>
                          <a:lvl7pPr marL="2743200" algn="l" defTabSz="914400" rtl="0" eaLnBrk="1" latinLnBrk="0" hangingPunct="1">
                            <a:defRPr sz="2400" kern="1200">
                              <a:solidFill>
                                <a:schemeClr val="tx1"/>
                              </a:solidFill>
                              <a:latin typeface="Tahoma" pitchFamily="34" charset="0"/>
                              <a:ea typeface="+mn-ea"/>
                              <a:cs typeface="+mn-cs"/>
                            </a:defRPr>
                          </a:lvl7pPr>
                          <a:lvl8pPr marL="3200400" algn="l" defTabSz="914400" rtl="0" eaLnBrk="1" latinLnBrk="0" hangingPunct="1">
                            <a:defRPr sz="2400" kern="1200">
                              <a:solidFill>
                                <a:schemeClr val="tx1"/>
                              </a:solidFill>
                              <a:latin typeface="Tahoma" pitchFamily="34" charset="0"/>
                              <a:ea typeface="+mn-ea"/>
                              <a:cs typeface="+mn-cs"/>
                            </a:defRPr>
                          </a:lvl8pPr>
                          <a:lvl9pPr marL="3657600" algn="l" defTabSz="914400" rtl="0" eaLnBrk="1" latinLnBrk="0" hangingPunct="1">
                            <a:defRPr sz="2400" kern="1200">
                              <a:solidFill>
                                <a:schemeClr val="tx1"/>
                              </a:solidFill>
                              <a:latin typeface="Tahoma" pitchFamily="34" charset="0"/>
                              <a:ea typeface="+mn-ea"/>
                              <a:cs typeface="+mn-cs"/>
                            </a:defRPr>
                          </a:lvl9pPr>
                        </a:lstStyle>
                        <a:p>
                          <a:pPr algn="l"/>
                          <a:r>
                            <a:rPr lang="en-GB" sz="1400" b="1" dirty="0" smtClean="0">
                              <a:latin typeface="Comic Sans MS" pitchFamily="66" charset="0"/>
                            </a:rPr>
                            <a:t>3</a:t>
                          </a:r>
                        </a:p>
                        <a:p>
                          <a:pPr algn="l"/>
                          <a:endParaRPr lang="en-GB" sz="1400" b="1" dirty="0" smtClean="0">
                            <a:latin typeface="Comic Sans MS" pitchFamily="66" charset="0"/>
                          </a:endParaRPr>
                        </a:p>
                        <a:p>
                          <a:pPr algn="l"/>
                          <a:endParaRPr lang="en-GB" sz="1400" b="1" dirty="0" smtClean="0">
                            <a:latin typeface="Comic Sans MS" pitchFamily="66" charset="0"/>
                          </a:endParaRPr>
                        </a:p>
                      </a:txBody>
                      <a:useSpRect/>
                    </a:txSp>
                  </a:sp>
                  <a:sp>
                    <a:nvSpPr>
                      <a:cNvPr id="19" name="Rectangle 3"/>
                      <a:cNvSpPr>
                        <a:spLocks noChangeArrowheads="1"/>
                      </a:cNvSpPr>
                    </a:nvSpPr>
                    <a:spPr bwMode="auto">
                      <a:xfrm>
                        <a:off x="5940152" y="3429000"/>
                        <a:ext cx="2352402" cy="659234"/>
                      </a:xfrm>
                      <a:prstGeom prst="rect">
                        <a:avLst/>
                      </a:prstGeom>
                      <a:noFill/>
                      <a:ln w="12700">
                        <a:solidFill>
                          <a:schemeClr val="tx1"/>
                        </a:solidFill>
                        <a:miter lim="800000"/>
                        <a:headEnd/>
                        <a:tailEnd/>
                      </a:ln>
                      <a:effectLst/>
                    </a:spPr>
                    <a:txSp>
                      <a:txBody>
                        <a:bodyPr wrap="none" lIns="92075" tIns="46038" rIns="92075" bIns="46038" anchor="ctr"/>
                        <a:lstStyle>
                          <a:defPPr>
                            <a:defRPr lang="en-GB"/>
                          </a:defPPr>
                          <a:lvl1pPr algn="ctr" rtl="0" eaLnBrk="0" fontAlgn="base" hangingPunct="0">
                            <a:spcBef>
                              <a:spcPct val="0"/>
                            </a:spcBef>
                            <a:spcAft>
                              <a:spcPct val="0"/>
                            </a:spcAft>
                            <a:defRPr sz="2400" kern="1200">
                              <a:solidFill>
                                <a:schemeClr val="tx1"/>
                              </a:solidFill>
                              <a:latin typeface="Tahoma" pitchFamily="34" charset="0"/>
                              <a:ea typeface="+mn-ea"/>
                              <a:cs typeface="+mn-cs"/>
                            </a:defRPr>
                          </a:lvl1pPr>
                          <a:lvl2pPr marL="457200" algn="ctr" rtl="0" eaLnBrk="0" fontAlgn="base" hangingPunct="0">
                            <a:spcBef>
                              <a:spcPct val="0"/>
                            </a:spcBef>
                            <a:spcAft>
                              <a:spcPct val="0"/>
                            </a:spcAft>
                            <a:defRPr sz="2400" kern="1200">
                              <a:solidFill>
                                <a:schemeClr val="tx1"/>
                              </a:solidFill>
                              <a:latin typeface="Tahoma" pitchFamily="34" charset="0"/>
                              <a:ea typeface="+mn-ea"/>
                              <a:cs typeface="+mn-cs"/>
                            </a:defRPr>
                          </a:lvl2pPr>
                          <a:lvl3pPr marL="914400" algn="ctr" rtl="0" eaLnBrk="0" fontAlgn="base" hangingPunct="0">
                            <a:spcBef>
                              <a:spcPct val="0"/>
                            </a:spcBef>
                            <a:spcAft>
                              <a:spcPct val="0"/>
                            </a:spcAft>
                            <a:defRPr sz="2400" kern="1200">
                              <a:solidFill>
                                <a:schemeClr val="tx1"/>
                              </a:solidFill>
                              <a:latin typeface="Tahoma" pitchFamily="34" charset="0"/>
                              <a:ea typeface="+mn-ea"/>
                              <a:cs typeface="+mn-cs"/>
                            </a:defRPr>
                          </a:lvl3pPr>
                          <a:lvl4pPr marL="1371600" algn="ctr" rtl="0" eaLnBrk="0" fontAlgn="base" hangingPunct="0">
                            <a:spcBef>
                              <a:spcPct val="0"/>
                            </a:spcBef>
                            <a:spcAft>
                              <a:spcPct val="0"/>
                            </a:spcAft>
                            <a:defRPr sz="2400" kern="1200">
                              <a:solidFill>
                                <a:schemeClr val="tx1"/>
                              </a:solidFill>
                              <a:latin typeface="Tahoma" pitchFamily="34" charset="0"/>
                              <a:ea typeface="+mn-ea"/>
                              <a:cs typeface="+mn-cs"/>
                            </a:defRPr>
                          </a:lvl4pPr>
                          <a:lvl5pPr marL="1828800" algn="ctr" rtl="0" eaLnBrk="0" fontAlgn="base" hangingPunct="0">
                            <a:spcBef>
                              <a:spcPct val="0"/>
                            </a:spcBef>
                            <a:spcAft>
                              <a:spcPct val="0"/>
                            </a:spcAft>
                            <a:defRPr sz="2400" kern="1200">
                              <a:solidFill>
                                <a:schemeClr val="tx1"/>
                              </a:solidFill>
                              <a:latin typeface="Tahoma" pitchFamily="34" charset="0"/>
                              <a:ea typeface="+mn-ea"/>
                              <a:cs typeface="+mn-cs"/>
                            </a:defRPr>
                          </a:lvl5pPr>
                          <a:lvl6pPr marL="2286000" algn="l" defTabSz="914400" rtl="0" eaLnBrk="1" latinLnBrk="0" hangingPunct="1">
                            <a:defRPr sz="2400" kern="1200">
                              <a:solidFill>
                                <a:schemeClr val="tx1"/>
                              </a:solidFill>
                              <a:latin typeface="Tahoma" pitchFamily="34" charset="0"/>
                              <a:ea typeface="+mn-ea"/>
                              <a:cs typeface="+mn-cs"/>
                            </a:defRPr>
                          </a:lvl6pPr>
                          <a:lvl7pPr marL="2743200" algn="l" defTabSz="914400" rtl="0" eaLnBrk="1" latinLnBrk="0" hangingPunct="1">
                            <a:defRPr sz="2400" kern="1200">
                              <a:solidFill>
                                <a:schemeClr val="tx1"/>
                              </a:solidFill>
                              <a:latin typeface="Tahoma" pitchFamily="34" charset="0"/>
                              <a:ea typeface="+mn-ea"/>
                              <a:cs typeface="+mn-cs"/>
                            </a:defRPr>
                          </a:lvl7pPr>
                          <a:lvl8pPr marL="3200400" algn="l" defTabSz="914400" rtl="0" eaLnBrk="1" latinLnBrk="0" hangingPunct="1">
                            <a:defRPr sz="2400" kern="1200">
                              <a:solidFill>
                                <a:schemeClr val="tx1"/>
                              </a:solidFill>
                              <a:latin typeface="Tahoma" pitchFamily="34" charset="0"/>
                              <a:ea typeface="+mn-ea"/>
                              <a:cs typeface="+mn-cs"/>
                            </a:defRPr>
                          </a:lvl8pPr>
                          <a:lvl9pPr marL="3657600" algn="l" defTabSz="914400" rtl="0" eaLnBrk="1" latinLnBrk="0" hangingPunct="1">
                            <a:defRPr sz="2400" kern="1200">
                              <a:solidFill>
                                <a:schemeClr val="tx1"/>
                              </a:solidFill>
                              <a:latin typeface="Tahoma" pitchFamily="34" charset="0"/>
                              <a:ea typeface="+mn-ea"/>
                              <a:cs typeface="+mn-cs"/>
                            </a:defRPr>
                          </a:lvl9pPr>
                        </a:lstStyle>
                        <a:p>
                          <a:pPr algn="l"/>
                          <a:r>
                            <a:rPr lang="en-GB" sz="1400" b="1" dirty="0" smtClean="0">
                              <a:latin typeface="Comic Sans MS" pitchFamily="66" charset="0"/>
                            </a:rPr>
                            <a:t>3</a:t>
                          </a:r>
                        </a:p>
                        <a:p>
                          <a:pPr algn="l"/>
                          <a:endParaRPr lang="en-GB" sz="1400" b="1" dirty="0" smtClean="0">
                            <a:latin typeface="Comic Sans MS" pitchFamily="66" charset="0"/>
                          </a:endParaRPr>
                        </a:p>
                        <a:p>
                          <a:pPr algn="l"/>
                          <a:endParaRPr lang="en-GB" sz="1400" b="1" dirty="0" smtClean="0">
                            <a:latin typeface="Comic Sans MS" pitchFamily="66" charset="0"/>
                          </a:endParaRPr>
                        </a:p>
                      </a:txBody>
                      <a:useSpRect/>
                    </a:txSp>
                  </a:sp>
                  <a:sp>
                    <a:nvSpPr>
                      <a:cNvPr id="20" name="Rectangle 3"/>
                      <a:cNvSpPr>
                        <a:spLocks noChangeArrowheads="1"/>
                      </a:cNvSpPr>
                    </a:nvSpPr>
                    <a:spPr bwMode="auto">
                      <a:xfrm>
                        <a:off x="4788024" y="4293096"/>
                        <a:ext cx="2352402" cy="659234"/>
                      </a:xfrm>
                      <a:prstGeom prst="rect">
                        <a:avLst/>
                      </a:prstGeom>
                      <a:noFill/>
                      <a:ln w="12700">
                        <a:solidFill>
                          <a:schemeClr val="tx1"/>
                        </a:solidFill>
                        <a:miter lim="800000"/>
                        <a:headEnd/>
                        <a:tailEnd/>
                      </a:ln>
                      <a:effectLst/>
                    </a:spPr>
                    <a:txSp>
                      <a:txBody>
                        <a:bodyPr wrap="none" lIns="92075" tIns="46038" rIns="92075" bIns="46038" anchor="ctr"/>
                        <a:lstStyle>
                          <a:defPPr>
                            <a:defRPr lang="en-GB"/>
                          </a:defPPr>
                          <a:lvl1pPr algn="ctr" rtl="0" eaLnBrk="0" fontAlgn="base" hangingPunct="0">
                            <a:spcBef>
                              <a:spcPct val="0"/>
                            </a:spcBef>
                            <a:spcAft>
                              <a:spcPct val="0"/>
                            </a:spcAft>
                            <a:defRPr sz="2400" kern="1200">
                              <a:solidFill>
                                <a:schemeClr val="tx1"/>
                              </a:solidFill>
                              <a:latin typeface="Tahoma" pitchFamily="34" charset="0"/>
                              <a:ea typeface="+mn-ea"/>
                              <a:cs typeface="+mn-cs"/>
                            </a:defRPr>
                          </a:lvl1pPr>
                          <a:lvl2pPr marL="457200" algn="ctr" rtl="0" eaLnBrk="0" fontAlgn="base" hangingPunct="0">
                            <a:spcBef>
                              <a:spcPct val="0"/>
                            </a:spcBef>
                            <a:spcAft>
                              <a:spcPct val="0"/>
                            </a:spcAft>
                            <a:defRPr sz="2400" kern="1200">
                              <a:solidFill>
                                <a:schemeClr val="tx1"/>
                              </a:solidFill>
                              <a:latin typeface="Tahoma" pitchFamily="34" charset="0"/>
                              <a:ea typeface="+mn-ea"/>
                              <a:cs typeface="+mn-cs"/>
                            </a:defRPr>
                          </a:lvl2pPr>
                          <a:lvl3pPr marL="914400" algn="ctr" rtl="0" eaLnBrk="0" fontAlgn="base" hangingPunct="0">
                            <a:spcBef>
                              <a:spcPct val="0"/>
                            </a:spcBef>
                            <a:spcAft>
                              <a:spcPct val="0"/>
                            </a:spcAft>
                            <a:defRPr sz="2400" kern="1200">
                              <a:solidFill>
                                <a:schemeClr val="tx1"/>
                              </a:solidFill>
                              <a:latin typeface="Tahoma" pitchFamily="34" charset="0"/>
                              <a:ea typeface="+mn-ea"/>
                              <a:cs typeface="+mn-cs"/>
                            </a:defRPr>
                          </a:lvl3pPr>
                          <a:lvl4pPr marL="1371600" algn="ctr" rtl="0" eaLnBrk="0" fontAlgn="base" hangingPunct="0">
                            <a:spcBef>
                              <a:spcPct val="0"/>
                            </a:spcBef>
                            <a:spcAft>
                              <a:spcPct val="0"/>
                            </a:spcAft>
                            <a:defRPr sz="2400" kern="1200">
                              <a:solidFill>
                                <a:schemeClr val="tx1"/>
                              </a:solidFill>
                              <a:latin typeface="Tahoma" pitchFamily="34" charset="0"/>
                              <a:ea typeface="+mn-ea"/>
                              <a:cs typeface="+mn-cs"/>
                            </a:defRPr>
                          </a:lvl4pPr>
                          <a:lvl5pPr marL="1828800" algn="ctr" rtl="0" eaLnBrk="0" fontAlgn="base" hangingPunct="0">
                            <a:spcBef>
                              <a:spcPct val="0"/>
                            </a:spcBef>
                            <a:spcAft>
                              <a:spcPct val="0"/>
                            </a:spcAft>
                            <a:defRPr sz="2400" kern="1200">
                              <a:solidFill>
                                <a:schemeClr val="tx1"/>
                              </a:solidFill>
                              <a:latin typeface="Tahoma" pitchFamily="34" charset="0"/>
                              <a:ea typeface="+mn-ea"/>
                              <a:cs typeface="+mn-cs"/>
                            </a:defRPr>
                          </a:lvl5pPr>
                          <a:lvl6pPr marL="2286000" algn="l" defTabSz="914400" rtl="0" eaLnBrk="1" latinLnBrk="0" hangingPunct="1">
                            <a:defRPr sz="2400" kern="1200">
                              <a:solidFill>
                                <a:schemeClr val="tx1"/>
                              </a:solidFill>
                              <a:latin typeface="Tahoma" pitchFamily="34" charset="0"/>
                              <a:ea typeface="+mn-ea"/>
                              <a:cs typeface="+mn-cs"/>
                            </a:defRPr>
                          </a:lvl6pPr>
                          <a:lvl7pPr marL="2743200" algn="l" defTabSz="914400" rtl="0" eaLnBrk="1" latinLnBrk="0" hangingPunct="1">
                            <a:defRPr sz="2400" kern="1200">
                              <a:solidFill>
                                <a:schemeClr val="tx1"/>
                              </a:solidFill>
                              <a:latin typeface="Tahoma" pitchFamily="34" charset="0"/>
                              <a:ea typeface="+mn-ea"/>
                              <a:cs typeface="+mn-cs"/>
                            </a:defRPr>
                          </a:lvl7pPr>
                          <a:lvl8pPr marL="3200400" algn="l" defTabSz="914400" rtl="0" eaLnBrk="1" latinLnBrk="0" hangingPunct="1">
                            <a:defRPr sz="2400" kern="1200">
                              <a:solidFill>
                                <a:schemeClr val="tx1"/>
                              </a:solidFill>
                              <a:latin typeface="Tahoma" pitchFamily="34" charset="0"/>
                              <a:ea typeface="+mn-ea"/>
                              <a:cs typeface="+mn-cs"/>
                            </a:defRPr>
                          </a:lvl8pPr>
                          <a:lvl9pPr marL="3657600" algn="l" defTabSz="914400" rtl="0" eaLnBrk="1" latinLnBrk="0" hangingPunct="1">
                            <a:defRPr sz="2400" kern="1200">
                              <a:solidFill>
                                <a:schemeClr val="tx1"/>
                              </a:solidFill>
                              <a:latin typeface="Tahoma" pitchFamily="34" charset="0"/>
                              <a:ea typeface="+mn-ea"/>
                              <a:cs typeface="+mn-cs"/>
                            </a:defRPr>
                          </a:lvl9pPr>
                        </a:lstStyle>
                        <a:p>
                          <a:pPr algn="l"/>
                          <a:r>
                            <a:rPr lang="en-GB" sz="1400" b="1" dirty="0" smtClean="0">
                              <a:latin typeface="Comic Sans MS" pitchFamily="66" charset="0"/>
                            </a:rPr>
                            <a:t>4</a:t>
                          </a:r>
                        </a:p>
                        <a:p>
                          <a:pPr algn="l"/>
                          <a:endParaRPr lang="en-GB" sz="1400" b="1" dirty="0" smtClean="0">
                            <a:latin typeface="Comic Sans MS" pitchFamily="66" charset="0"/>
                          </a:endParaRPr>
                        </a:p>
                        <a:p>
                          <a:pPr algn="l"/>
                          <a:endParaRPr lang="en-GB" sz="1400" b="1" dirty="0" smtClean="0">
                            <a:latin typeface="Comic Sans MS" pitchFamily="66" charset="0"/>
                          </a:endParaRPr>
                        </a:p>
                      </a:txBody>
                      <a:useSpRect/>
                    </a:txSp>
                  </a:sp>
                  <a:sp>
                    <a:nvSpPr>
                      <a:cNvPr id="21" name="Rectangle 3"/>
                      <a:cNvSpPr>
                        <a:spLocks noChangeArrowheads="1"/>
                      </a:cNvSpPr>
                    </a:nvSpPr>
                    <a:spPr bwMode="auto">
                      <a:xfrm>
                        <a:off x="3347864" y="1628800"/>
                        <a:ext cx="2352402" cy="659234"/>
                      </a:xfrm>
                      <a:prstGeom prst="rect">
                        <a:avLst/>
                      </a:prstGeom>
                      <a:noFill/>
                      <a:ln w="12700">
                        <a:solidFill>
                          <a:schemeClr val="tx1"/>
                        </a:solidFill>
                        <a:miter lim="800000"/>
                        <a:headEnd/>
                        <a:tailEnd/>
                      </a:ln>
                      <a:effectLst/>
                    </a:spPr>
                    <a:txSp>
                      <a:txBody>
                        <a:bodyPr wrap="none" lIns="92075" tIns="46038" rIns="92075" bIns="46038" anchor="ctr"/>
                        <a:lstStyle>
                          <a:defPPr>
                            <a:defRPr lang="en-GB"/>
                          </a:defPPr>
                          <a:lvl1pPr algn="ctr" rtl="0" eaLnBrk="0" fontAlgn="base" hangingPunct="0">
                            <a:spcBef>
                              <a:spcPct val="0"/>
                            </a:spcBef>
                            <a:spcAft>
                              <a:spcPct val="0"/>
                            </a:spcAft>
                            <a:defRPr sz="2400" kern="1200">
                              <a:solidFill>
                                <a:schemeClr val="tx1"/>
                              </a:solidFill>
                              <a:latin typeface="Tahoma" pitchFamily="34" charset="0"/>
                              <a:ea typeface="+mn-ea"/>
                              <a:cs typeface="+mn-cs"/>
                            </a:defRPr>
                          </a:lvl1pPr>
                          <a:lvl2pPr marL="457200" algn="ctr" rtl="0" eaLnBrk="0" fontAlgn="base" hangingPunct="0">
                            <a:spcBef>
                              <a:spcPct val="0"/>
                            </a:spcBef>
                            <a:spcAft>
                              <a:spcPct val="0"/>
                            </a:spcAft>
                            <a:defRPr sz="2400" kern="1200">
                              <a:solidFill>
                                <a:schemeClr val="tx1"/>
                              </a:solidFill>
                              <a:latin typeface="Tahoma" pitchFamily="34" charset="0"/>
                              <a:ea typeface="+mn-ea"/>
                              <a:cs typeface="+mn-cs"/>
                            </a:defRPr>
                          </a:lvl2pPr>
                          <a:lvl3pPr marL="914400" algn="ctr" rtl="0" eaLnBrk="0" fontAlgn="base" hangingPunct="0">
                            <a:spcBef>
                              <a:spcPct val="0"/>
                            </a:spcBef>
                            <a:spcAft>
                              <a:spcPct val="0"/>
                            </a:spcAft>
                            <a:defRPr sz="2400" kern="1200">
                              <a:solidFill>
                                <a:schemeClr val="tx1"/>
                              </a:solidFill>
                              <a:latin typeface="Tahoma" pitchFamily="34" charset="0"/>
                              <a:ea typeface="+mn-ea"/>
                              <a:cs typeface="+mn-cs"/>
                            </a:defRPr>
                          </a:lvl3pPr>
                          <a:lvl4pPr marL="1371600" algn="ctr" rtl="0" eaLnBrk="0" fontAlgn="base" hangingPunct="0">
                            <a:spcBef>
                              <a:spcPct val="0"/>
                            </a:spcBef>
                            <a:spcAft>
                              <a:spcPct val="0"/>
                            </a:spcAft>
                            <a:defRPr sz="2400" kern="1200">
                              <a:solidFill>
                                <a:schemeClr val="tx1"/>
                              </a:solidFill>
                              <a:latin typeface="Tahoma" pitchFamily="34" charset="0"/>
                              <a:ea typeface="+mn-ea"/>
                              <a:cs typeface="+mn-cs"/>
                            </a:defRPr>
                          </a:lvl4pPr>
                          <a:lvl5pPr marL="1828800" algn="ctr" rtl="0" eaLnBrk="0" fontAlgn="base" hangingPunct="0">
                            <a:spcBef>
                              <a:spcPct val="0"/>
                            </a:spcBef>
                            <a:spcAft>
                              <a:spcPct val="0"/>
                            </a:spcAft>
                            <a:defRPr sz="2400" kern="1200">
                              <a:solidFill>
                                <a:schemeClr val="tx1"/>
                              </a:solidFill>
                              <a:latin typeface="Tahoma" pitchFamily="34" charset="0"/>
                              <a:ea typeface="+mn-ea"/>
                              <a:cs typeface="+mn-cs"/>
                            </a:defRPr>
                          </a:lvl5pPr>
                          <a:lvl6pPr marL="2286000" algn="l" defTabSz="914400" rtl="0" eaLnBrk="1" latinLnBrk="0" hangingPunct="1">
                            <a:defRPr sz="2400" kern="1200">
                              <a:solidFill>
                                <a:schemeClr val="tx1"/>
                              </a:solidFill>
                              <a:latin typeface="Tahoma" pitchFamily="34" charset="0"/>
                              <a:ea typeface="+mn-ea"/>
                              <a:cs typeface="+mn-cs"/>
                            </a:defRPr>
                          </a:lvl6pPr>
                          <a:lvl7pPr marL="2743200" algn="l" defTabSz="914400" rtl="0" eaLnBrk="1" latinLnBrk="0" hangingPunct="1">
                            <a:defRPr sz="2400" kern="1200">
                              <a:solidFill>
                                <a:schemeClr val="tx1"/>
                              </a:solidFill>
                              <a:latin typeface="Tahoma" pitchFamily="34" charset="0"/>
                              <a:ea typeface="+mn-ea"/>
                              <a:cs typeface="+mn-cs"/>
                            </a:defRPr>
                          </a:lvl7pPr>
                          <a:lvl8pPr marL="3200400" algn="l" defTabSz="914400" rtl="0" eaLnBrk="1" latinLnBrk="0" hangingPunct="1">
                            <a:defRPr sz="2400" kern="1200">
                              <a:solidFill>
                                <a:schemeClr val="tx1"/>
                              </a:solidFill>
                              <a:latin typeface="Tahoma" pitchFamily="34" charset="0"/>
                              <a:ea typeface="+mn-ea"/>
                              <a:cs typeface="+mn-cs"/>
                            </a:defRPr>
                          </a:lvl8pPr>
                          <a:lvl9pPr marL="3657600" algn="l" defTabSz="914400" rtl="0" eaLnBrk="1" latinLnBrk="0" hangingPunct="1">
                            <a:defRPr sz="2400" kern="1200">
                              <a:solidFill>
                                <a:schemeClr val="tx1"/>
                              </a:solidFill>
                              <a:latin typeface="Tahoma" pitchFamily="34" charset="0"/>
                              <a:ea typeface="+mn-ea"/>
                              <a:cs typeface="+mn-cs"/>
                            </a:defRPr>
                          </a:lvl9pPr>
                        </a:lstStyle>
                        <a:p>
                          <a:pPr algn="l"/>
                          <a:r>
                            <a:rPr lang="en-GB" sz="1400" b="1" dirty="0" smtClean="0">
                              <a:latin typeface="Comic Sans MS" pitchFamily="66" charset="0"/>
                            </a:rPr>
                            <a:t>1</a:t>
                          </a:r>
                        </a:p>
                        <a:p>
                          <a:pPr algn="l"/>
                          <a:endParaRPr lang="en-GB" sz="1400" b="1" dirty="0" smtClean="0">
                            <a:latin typeface="Comic Sans MS" pitchFamily="66" charset="0"/>
                          </a:endParaRPr>
                        </a:p>
                        <a:p>
                          <a:pPr algn="l"/>
                          <a:endParaRPr lang="en-GB" sz="1400" b="1" dirty="0" smtClean="0">
                            <a:latin typeface="Comic Sans MS" pitchFamily="66" charset="0"/>
                          </a:endParaRPr>
                        </a:p>
                      </a:txBody>
                      <a:useSpRect/>
                    </a:txSp>
                  </a:sp>
                  <a:sp>
                    <a:nvSpPr>
                      <a:cNvPr id="22" name="Rectangle 3"/>
                      <a:cNvSpPr>
                        <a:spLocks noChangeArrowheads="1"/>
                      </a:cNvSpPr>
                    </a:nvSpPr>
                    <a:spPr bwMode="auto">
                      <a:xfrm>
                        <a:off x="3347864" y="5157192"/>
                        <a:ext cx="2352402" cy="659234"/>
                      </a:xfrm>
                      <a:prstGeom prst="rect">
                        <a:avLst/>
                      </a:prstGeom>
                      <a:noFill/>
                      <a:ln w="12700">
                        <a:solidFill>
                          <a:schemeClr val="tx1"/>
                        </a:solidFill>
                        <a:miter lim="800000"/>
                        <a:headEnd/>
                        <a:tailEnd/>
                      </a:ln>
                      <a:effectLst/>
                    </a:spPr>
                    <a:txSp>
                      <a:txBody>
                        <a:bodyPr wrap="none" lIns="92075" tIns="46038" rIns="92075" bIns="46038" anchor="ctr"/>
                        <a:lstStyle>
                          <a:defPPr>
                            <a:defRPr lang="en-GB"/>
                          </a:defPPr>
                          <a:lvl1pPr algn="ctr" rtl="0" eaLnBrk="0" fontAlgn="base" hangingPunct="0">
                            <a:spcBef>
                              <a:spcPct val="0"/>
                            </a:spcBef>
                            <a:spcAft>
                              <a:spcPct val="0"/>
                            </a:spcAft>
                            <a:defRPr sz="2400" kern="1200">
                              <a:solidFill>
                                <a:schemeClr val="tx1"/>
                              </a:solidFill>
                              <a:latin typeface="Tahoma" pitchFamily="34" charset="0"/>
                              <a:ea typeface="+mn-ea"/>
                              <a:cs typeface="+mn-cs"/>
                            </a:defRPr>
                          </a:lvl1pPr>
                          <a:lvl2pPr marL="457200" algn="ctr" rtl="0" eaLnBrk="0" fontAlgn="base" hangingPunct="0">
                            <a:spcBef>
                              <a:spcPct val="0"/>
                            </a:spcBef>
                            <a:spcAft>
                              <a:spcPct val="0"/>
                            </a:spcAft>
                            <a:defRPr sz="2400" kern="1200">
                              <a:solidFill>
                                <a:schemeClr val="tx1"/>
                              </a:solidFill>
                              <a:latin typeface="Tahoma" pitchFamily="34" charset="0"/>
                              <a:ea typeface="+mn-ea"/>
                              <a:cs typeface="+mn-cs"/>
                            </a:defRPr>
                          </a:lvl2pPr>
                          <a:lvl3pPr marL="914400" algn="ctr" rtl="0" eaLnBrk="0" fontAlgn="base" hangingPunct="0">
                            <a:spcBef>
                              <a:spcPct val="0"/>
                            </a:spcBef>
                            <a:spcAft>
                              <a:spcPct val="0"/>
                            </a:spcAft>
                            <a:defRPr sz="2400" kern="1200">
                              <a:solidFill>
                                <a:schemeClr val="tx1"/>
                              </a:solidFill>
                              <a:latin typeface="Tahoma" pitchFamily="34" charset="0"/>
                              <a:ea typeface="+mn-ea"/>
                              <a:cs typeface="+mn-cs"/>
                            </a:defRPr>
                          </a:lvl3pPr>
                          <a:lvl4pPr marL="1371600" algn="ctr" rtl="0" eaLnBrk="0" fontAlgn="base" hangingPunct="0">
                            <a:spcBef>
                              <a:spcPct val="0"/>
                            </a:spcBef>
                            <a:spcAft>
                              <a:spcPct val="0"/>
                            </a:spcAft>
                            <a:defRPr sz="2400" kern="1200">
                              <a:solidFill>
                                <a:schemeClr val="tx1"/>
                              </a:solidFill>
                              <a:latin typeface="Tahoma" pitchFamily="34" charset="0"/>
                              <a:ea typeface="+mn-ea"/>
                              <a:cs typeface="+mn-cs"/>
                            </a:defRPr>
                          </a:lvl4pPr>
                          <a:lvl5pPr marL="1828800" algn="ctr" rtl="0" eaLnBrk="0" fontAlgn="base" hangingPunct="0">
                            <a:spcBef>
                              <a:spcPct val="0"/>
                            </a:spcBef>
                            <a:spcAft>
                              <a:spcPct val="0"/>
                            </a:spcAft>
                            <a:defRPr sz="2400" kern="1200">
                              <a:solidFill>
                                <a:schemeClr val="tx1"/>
                              </a:solidFill>
                              <a:latin typeface="Tahoma" pitchFamily="34" charset="0"/>
                              <a:ea typeface="+mn-ea"/>
                              <a:cs typeface="+mn-cs"/>
                            </a:defRPr>
                          </a:lvl5pPr>
                          <a:lvl6pPr marL="2286000" algn="l" defTabSz="914400" rtl="0" eaLnBrk="1" latinLnBrk="0" hangingPunct="1">
                            <a:defRPr sz="2400" kern="1200">
                              <a:solidFill>
                                <a:schemeClr val="tx1"/>
                              </a:solidFill>
                              <a:latin typeface="Tahoma" pitchFamily="34" charset="0"/>
                              <a:ea typeface="+mn-ea"/>
                              <a:cs typeface="+mn-cs"/>
                            </a:defRPr>
                          </a:lvl6pPr>
                          <a:lvl7pPr marL="2743200" algn="l" defTabSz="914400" rtl="0" eaLnBrk="1" latinLnBrk="0" hangingPunct="1">
                            <a:defRPr sz="2400" kern="1200">
                              <a:solidFill>
                                <a:schemeClr val="tx1"/>
                              </a:solidFill>
                              <a:latin typeface="Tahoma" pitchFamily="34" charset="0"/>
                              <a:ea typeface="+mn-ea"/>
                              <a:cs typeface="+mn-cs"/>
                            </a:defRPr>
                          </a:lvl7pPr>
                          <a:lvl8pPr marL="3200400" algn="l" defTabSz="914400" rtl="0" eaLnBrk="1" latinLnBrk="0" hangingPunct="1">
                            <a:defRPr sz="2400" kern="1200">
                              <a:solidFill>
                                <a:schemeClr val="tx1"/>
                              </a:solidFill>
                              <a:latin typeface="Tahoma" pitchFamily="34" charset="0"/>
                              <a:ea typeface="+mn-ea"/>
                              <a:cs typeface="+mn-cs"/>
                            </a:defRPr>
                          </a:lvl8pPr>
                          <a:lvl9pPr marL="3657600" algn="l" defTabSz="914400" rtl="0" eaLnBrk="1" latinLnBrk="0" hangingPunct="1">
                            <a:defRPr sz="2400" kern="1200">
                              <a:solidFill>
                                <a:schemeClr val="tx1"/>
                              </a:solidFill>
                              <a:latin typeface="Tahoma" pitchFamily="34" charset="0"/>
                              <a:ea typeface="+mn-ea"/>
                              <a:cs typeface="+mn-cs"/>
                            </a:defRPr>
                          </a:lvl9pPr>
                        </a:lstStyle>
                        <a:p>
                          <a:pPr algn="l"/>
                          <a:r>
                            <a:rPr lang="en-GB" sz="1400" b="1" dirty="0" smtClean="0">
                              <a:latin typeface="Comic Sans MS" pitchFamily="66" charset="0"/>
                            </a:rPr>
                            <a:t>5</a:t>
                          </a:r>
                        </a:p>
                        <a:p>
                          <a:pPr algn="l"/>
                          <a:endParaRPr lang="en-GB" sz="1400" b="1" dirty="0" smtClean="0">
                            <a:latin typeface="Comic Sans MS" pitchFamily="66" charset="0"/>
                          </a:endParaRPr>
                        </a:p>
                        <a:p>
                          <a:pPr algn="l"/>
                          <a:endParaRPr lang="en-GB" sz="1400" b="1" dirty="0" smtClean="0">
                            <a:latin typeface="Comic Sans MS" pitchFamily="66" charset="0"/>
                          </a:endParaRPr>
                        </a:p>
                      </a:txBody>
                      <a:useSpRect/>
                    </a:txSp>
                  </a:sp>
                </lc:lockedCanvas>
              </a:graphicData>
            </a:graphic>
          </wp:inline>
        </w:drawing>
      </w:r>
    </w:p>
    <w:sectPr w:rsidR="006A5E76" w:rsidRPr="004F1193" w:rsidSect="00524FB7">
      <w:type w:val="continuous"/>
      <w:pgSz w:w="16838" w:h="11906" w:orient="landscape"/>
      <w:pgMar w:top="851" w:right="907" w:bottom="794" w:left="79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51479"/>
    <w:multiLevelType w:val="hybridMultilevel"/>
    <w:tmpl w:val="2CE488AA"/>
    <w:lvl w:ilvl="0" w:tplc="8426280C">
      <w:start w:val="1"/>
      <w:numFmt w:val="bullet"/>
      <w:lvlText w:val="•"/>
      <w:lvlJc w:val="left"/>
      <w:pPr>
        <w:tabs>
          <w:tab w:val="num" w:pos="720"/>
        </w:tabs>
        <w:ind w:left="720" w:hanging="360"/>
      </w:pPr>
      <w:rPr>
        <w:rFonts w:ascii="Arial" w:hAnsi="Arial" w:hint="default"/>
      </w:rPr>
    </w:lvl>
    <w:lvl w:ilvl="1" w:tplc="BF8286F2" w:tentative="1">
      <w:start w:val="1"/>
      <w:numFmt w:val="bullet"/>
      <w:lvlText w:val="•"/>
      <w:lvlJc w:val="left"/>
      <w:pPr>
        <w:tabs>
          <w:tab w:val="num" w:pos="1440"/>
        </w:tabs>
        <w:ind w:left="1440" w:hanging="360"/>
      </w:pPr>
      <w:rPr>
        <w:rFonts w:ascii="Arial" w:hAnsi="Arial" w:hint="default"/>
      </w:rPr>
    </w:lvl>
    <w:lvl w:ilvl="2" w:tplc="89EC8F28" w:tentative="1">
      <w:start w:val="1"/>
      <w:numFmt w:val="bullet"/>
      <w:lvlText w:val="•"/>
      <w:lvlJc w:val="left"/>
      <w:pPr>
        <w:tabs>
          <w:tab w:val="num" w:pos="2160"/>
        </w:tabs>
        <w:ind w:left="2160" w:hanging="360"/>
      </w:pPr>
      <w:rPr>
        <w:rFonts w:ascii="Arial" w:hAnsi="Arial" w:hint="default"/>
      </w:rPr>
    </w:lvl>
    <w:lvl w:ilvl="3" w:tplc="5EAEA17C" w:tentative="1">
      <w:start w:val="1"/>
      <w:numFmt w:val="bullet"/>
      <w:lvlText w:val="•"/>
      <w:lvlJc w:val="left"/>
      <w:pPr>
        <w:tabs>
          <w:tab w:val="num" w:pos="2880"/>
        </w:tabs>
        <w:ind w:left="2880" w:hanging="360"/>
      </w:pPr>
      <w:rPr>
        <w:rFonts w:ascii="Arial" w:hAnsi="Arial" w:hint="default"/>
      </w:rPr>
    </w:lvl>
    <w:lvl w:ilvl="4" w:tplc="B156A226" w:tentative="1">
      <w:start w:val="1"/>
      <w:numFmt w:val="bullet"/>
      <w:lvlText w:val="•"/>
      <w:lvlJc w:val="left"/>
      <w:pPr>
        <w:tabs>
          <w:tab w:val="num" w:pos="3600"/>
        </w:tabs>
        <w:ind w:left="3600" w:hanging="360"/>
      </w:pPr>
      <w:rPr>
        <w:rFonts w:ascii="Arial" w:hAnsi="Arial" w:hint="default"/>
      </w:rPr>
    </w:lvl>
    <w:lvl w:ilvl="5" w:tplc="326A52EE" w:tentative="1">
      <w:start w:val="1"/>
      <w:numFmt w:val="bullet"/>
      <w:lvlText w:val="•"/>
      <w:lvlJc w:val="left"/>
      <w:pPr>
        <w:tabs>
          <w:tab w:val="num" w:pos="4320"/>
        </w:tabs>
        <w:ind w:left="4320" w:hanging="360"/>
      </w:pPr>
      <w:rPr>
        <w:rFonts w:ascii="Arial" w:hAnsi="Arial" w:hint="default"/>
      </w:rPr>
    </w:lvl>
    <w:lvl w:ilvl="6" w:tplc="F272BD08" w:tentative="1">
      <w:start w:val="1"/>
      <w:numFmt w:val="bullet"/>
      <w:lvlText w:val="•"/>
      <w:lvlJc w:val="left"/>
      <w:pPr>
        <w:tabs>
          <w:tab w:val="num" w:pos="5040"/>
        </w:tabs>
        <w:ind w:left="5040" w:hanging="360"/>
      </w:pPr>
      <w:rPr>
        <w:rFonts w:ascii="Arial" w:hAnsi="Arial" w:hint="default"/>
      </w:rPr>
    </w:lvl>
    <w:lvl w:ilvl="7" w:tplc="6CA4328C" w:tentative="1">
      <w:start w:val="1"/>
      <w:numFmt w:val="bullet"/>
      <w:lvlText w:val="•"/>
      <w:lvlJc w:val="left"/>
      <w:pPr>
        <w:tabs>
          <w:tab w:val="num" w:pos="5760"/>
        </w:tabs>
        <w:ind w:left="5760" w:hanging="360"/>
      </w:pPr>
      <w:rPr>
        <w:rFonts w:ascii="Arial" w:hAnsi="Arial" w:hint="default"/>
      </w:rPr>
    </w:lvl>
    <w:lvl w:ilvl="8" w:tplc="746A9E5A" w:tentative="1">
      <w:start w:val="1"/>
      <w:numFmt w:val="bullet"/>
      <w:lvlText w:val="•"/>
      <w:lvlJc w:val="left"/>
      <w:pPr>
        <w:tabs>
          <w:tab w:val="num" w:pos="6480"/>
        </w:tabs>
        <w:ind w:left="6480" w:hanging="360"/>
      </w:pPr>
      <w:rPr>
        <w:rFonts w:ascii="Arial" w:hAnsi="Arial" w:hint="default"/>
      </w:rPr>
    </w:lvl>
  </w:abstractNum>
  <w:abstractNum w:abstractNumId="1">
    <w:nsid w:val="03AA40E7"/>
    <w:multiLevelType w:val="hybridMultilevel"/>
    <w:tmpl w:val="7D0CAC9E"/>
    <w:lvl w:ilvl="0" w:tplc="BF7A220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C600293"/>
    <w:multiLevelType w:val="hybridMultilevel"/>
    <w:tmpl w:val="93B4CBDC"/>
    <w:lvl w:ilvl="0" w:tplc="BF7A220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3AE1D88"/>
    <w:multiLevelType w:val="hybridMultilevel"/>
    <w:tmpl w:val="09DA67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66D12EA"/>
    <w:multiLevelType w:val="hybridMultilevel"/>
    <w:tmpl w:val="93B4CBDC"/>
    <w:lvl w:ilvl="0" w:tplc="BF7A220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1FFC438F"/>
    <w:multiLevelType w:val="hybridMultilevel"/>
    <w:tmpl w:val="7446346E"/>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19F7963"/>
    <w:multiLevelType w:val="hybridMultilevel"/>
    <w:tmpl w:val="4454D9A0"/>
    <w:lvl w:ilvl="0" w:tplc="9E4A018A">
      <w:start w:val="1"/>
      <w:numFmt w:val="lowerLetter"/>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7">
    <w:nsid w:val="30BC6221"/>
    <w:multiLevelType w:val="hybridMultilevel"/>
    <w:tmpl w:val="484AA108"/>
    <w:lvl w:ilvl="0" w:tplc="AE50A04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486E5CFD"/>
    <w:multiLevelType w:val="hybridMultilevel"/>
    <w:tmpl w:val="0E44C752"/>
    <w:lvl w:ilvl="0" w:tplc="6A4EB4F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52E73EEA"/>
    <w:multiLevelType w:val="hybridMultilevel"/>
    <w:tmpl w:val="DF323798"/>
    <w:lvl w:ilvl="0" w:tplc="BF7A220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5FB73491"/>
    <w:multiLevelType w:val="hybridMultilevel"/>
    <w:tmpl w:val="5D52A072"/>
    <w:lvl w:ilvl="0" w:tplc="5FE4264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61AA023B"/>
    <w:multiLevelType w:val="hybridMultilevel"/>
    <w:tmpl w:val="FD8A322E"/>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62465928"/>
    <w:multiLevelType w:val="hybridMultilevel"/>
    <w:tmpl w:val="4A60CA82"/>
    <w:lvl w:ilvl="0" w:tplc="A6E05C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695111FF"/>
    <w:multiLevelType w:val="hybridMultilevel"/>
    <w:tmpl w:val="4C7CB008"/>
    <w:lvl w:ilvl="0" w:tplc="28B61F3A">
      <w:start w:val="1"/>
      <w:numFmt w:val="lowerLetter"/>
      <w:lvlText w:val="%1."/>
      <w:lvlJc w:val="left"/>
      <w:pPr>
        <w:ind w:left="107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7B9F659D"/>
    <w:multiLevelType w:val="hybridMultilevel"/>
    <w:tmpl w:val="876A6506"/>
    <w:lvl w:ilvl="0" w:tplc="3FD2C740">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3"/>
  </w:num>
  <w:num w:numId="3">
    <w:abstractNumId w:val="10"/>
  </w:num>
  <w:num w:numId="4">
    <w:abstractNumId w:val="13"/>
  </w:num>
  <w:num w:numId="5">
    <w:abstractNumId w:val="12"/>
  </w:num>
  <w:num w:numId="6">
    <w:abstractNumId w:val="8"/>
  </w:num>
  <w:num w:numId="7">
    <w:abstractNumId w:val="11"/>
  </w:num>
  <w:num w:numId="8">
    <w:abstractNumId w:val="4"/>
  </w:num>
  <w:num w:numId="9">
    <w:abstractNumId w:val="7"/>
  </w:num>
  <w:num w:numId="10">
    <w:abstractNumId w:val="2"/>
  </w:num>
  <w:num w:numId="11">
    <w:abstractNumId w:val="5"/>
  </w:num>
  <w:num w:numId="12">
    <w:abstractNumId w:val="9"/>
  </w:num>
  <w:num w:numId="13">
    <w:abstractNumId w:val="6"/>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20"/>
  <w:drawingGridHorizontalSpacing w:val="110"/>
  <w:displayHorizontalDrawingGridEvery w:val="2"/>
  <w:characterSpacingControl w:val="doNotCompress"/>
  <w:compat/>
  <w:rsids>
    <w:rsidRoot w:val="005216AD"/>
    <w:rsid w:val="0002527B"/>
    <w:rsid w:val="001671F1"/>
    <w:rsid w:val="001950A8"/>
    <w:rsid w:val="001A55AF"/>
    <w:rsid w:val="002C3C41"/>
    <w:rsid w:val="00433426"/>
    <w:rsid w:val="004436B7"/>
    <w:rsid w:val="00461669"/>
    <w:rsid w:val="00464CFC"/>
    <w:rsid w:val="004C360A"/>
    <w:rsid w:val="004F1193"/>
    <w:rsid w:val="005216AD"/>
    <w:rsid w:val="00524FB7"/>
    <w:rsid w:val="00573901"/>
    <w:rsid w:val="00666D12"/>
    <w:rsid w:val="00667404"/>
    <w:rsid w:val="00691045"/>
    <w:rsid w:val="006A5E76"/>
    <w:rsid w:val="0071761B"/>
    <w:rsid w:val="00784696"/>
    <w:rsid w:val="00836C87"/>
    <w:rsid w:val="00875A0F"/>
    <w:rsid w:val="008D5381"/>
    <w:rsid w:val="009144EA"/>
    <w:rsid w:val="009A16F5"/>
    <w:rsid w:val="009E49C6"/>
    <w:rsid w:val="00A8440B"/>
    <w:rsid w:val="00AD0FE1"/>
    <w:rsid w:val="00B376A1"/>
    <w:rsid w:val="00BE4B5D"/>
    <w:rsid w:val="00BF57D2"/>
    <w:rsid w:val="00C0731C"/>
    <w:rsid w:val="00C12F9E"/>
    <w:rsid w:val="00C57500"/>
    <w:rsid w:val="00CA2944"/>
    <w:rsid w:val="00CE0D03"/>
    <w:rsid w:val="00D92DE2"/>
    <w:rsid w:val="00DE23A7"/>
    <w:rsid w:val="00E73EB7"/>
    <w:rsid w:val="00E965E7"/>
    <w:rsid w:val="00F0156B"/>
    <w:rsid w:val="00F21715"/>
    <w:rsid w:val="00F3131E"/>
    <w:rsid w:val="00F5168D"/>
    <w:rsid w:val="00FF1FB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B5D"/>
  </w:style>
  <w:style w:type="paragraph" w:styleId="Heading1">
    <w:name w:val="heading 1"/>
    <w:basedOn w:val="Normal"/>
    <w:link w:val="Heading1Char"/>
    <w:uiPriority w:val="99"/>
    <w:qFormat/>
    <w:rsid w:val="0071761B"/>
    <w:pPr>
      <w:spacing w:before="240" w:after="60" w:line="312" w:lineRule="auto"/>
      <w:outlineLvl w:val="0"/>
    </w:pPr>
    <w:rPr>
      <w:rFonts w:ascii="Calibri" w:eastAsia="Calibri" w:hAnsi="Calibri" w:cs="Times New Roman"/>
      <w:color w:val="363534"/>
      <w:kern w:val="36"/>
      <w:sz w:val="48"/>
      <w:szCs w:val="48"/>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156B"/>
    <w:rPr>
      <w:color w:val="0000FF" w:themeColor="hyperlink"/>
      <w:u w:val="single"/>
    </w:rPr>
  </w:style>
  <w:style w:type="paragraph" w:styleId="ListParagraph">
    <w:name w:val="List Paragraph"/>
    <w:basedOn w:val="Normal"/>
    <w:uiPriority w:val="34"/>
    <w:qFormat/>
    <w:rsid w:val="00F0156B"/>
    <w:pPr>
      <w:ind w:left="720"/>
      <w:contextualSpacing/>
    </w:pPr>
  </w:style>
  <w:style w:type="character" w:customStyle="1" w:styleId="Heading1Char">
    <w:name w:val="Heading 1 Char"/>
    <w:basedOn w:val="DefaultParagraphFont"/>
    <w:link w:val="Heading1"/>
    <w:uiPriority w:val="99"/>
    <w:rsid w:val="0071761B"/>
    <w:rPr>
      <w:rFonts w:ascii="Calibri" w:eastAsia="Calibri" w:hAnsi="Calibri" w:cs="Times New Roman"/>
      <w:color w:val="363534"/>
      <w:kern w:val="36"/>
      <w:sz w:val="48"/>
      <w:szCs w:val="48"/>
      <w:lang w:val="en-US" w:eastAsia="en-GB"/>
    </w:rPr>
  </w:style>
  <w:style w:type="paragraph" w:styleId="FootnoteText">
    <w:name w:val="footnote text"/>
    <w:basedOn w:val="Normal"/>
    <w:link w:val="FootnoteTextChar"/>
    <w:uiPriority w:val="99"/>
    <w:semiHidden/>
    <w:rsid w:val="0071761B"/>
    <w:pPr>
      <w:spacing w:after="0" w:line="240"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semiHidden/>
    <w:rsid w:val="0071761B"/>
    <w:rPr>
      <w:rFonts w:ascii="Calibri" w:eastAsia="Calibri" w:hAnsi="Calibri" w:cs="Times New Roman"/>
      <w:sz w:val="20"/>
      <w:szCs w:val="20"/>
      <w:lang w:val="en-US"/>
    </w:rPr>
  </w:style>
  <w:style w:type="table" w:styleId="TableGrid">
    <w:name w:val="Table Grid"/>
    <w:basedOn w:val="TableNormal"/>
    <w:uiPriority w:val="59"/>
    <w:rsid w:val="001950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A5E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E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8160806">
      <w:bodyDiv w:val="1"/>
      <w:marLeft w:val="0"/>
      <w:marRight w:val="0"/>
      <w:marTop w:val="0"/>
      <w:marBottom w:val="0"/>
      <w:divBdr>
        <w:top w:val="none" w:sz="0" w:space="0" w:color="auto"/>
        <w:left w:val="none" w:sz="0" w:space="0" w:color="auto"/>
        <w:bottom w:val="none" w:sz="0" w:space="0" w:color="auto"/>
        <w:right w:val="none" w:sz="0" w:space="0" w:color="auto"/>
      </w:divBdr>
      <w:divsChild>
        <w:div w:id="768737715">
          <w:marLeft w:val="547"/>
          <w:marRight w:val="0"/>
          <w:marTop w:val="134"/>
          <w:marBottom w:val="0"/>
          <w:divBdr>
            <w:top w:val="none" w:sz="0" w:space="0" w:color="auto"/>
            <w:left w:val="none" w:sz="0" w:space="0" w:color="auto"/>
            <w:bottom w:val="none" w:sz="0" w:space="0" w:color="auto"/>
            <w:right w:val="none" w:sz="0" w:space="0" w:color="auto"/>
          </w:divBdr>
        </w:div>
        <w:div w:id="960959076">
          <w:marLeft w:val="547"/>
          <w:marRight w:val="0"/>
          <w:marTop w:val="134"/>
          <w:marBottom w:val="0"/>
          <w:divBdr>
            <w:top w:val="none" w:sz="0" w:space="0" w:color="auto"/>
            <w:left w:val="none" w:sz="0" w:space="0" w:color="auto"/>
            <w:bottom w:val="none" w:sz="0" w:space="0" w:color="auto"/>
            <w:right w:val="none" w:sz="0" w:space="0" w:color="auto"/>
          </w:divBdr>
        </w:div>
        <w:div w:id="462964363">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eprints.hud.ac.uk/10892/" TargetMode="External"/><Relationship Id="rId3" Type="http://schemas.openxmlformats.org/officeDocument/2006/relationships/settings" Target="settings.xml"/><Relationship Id="rId7" Type="http://schemas.openxmlformats.org/officeDocument/2006/relationships/hyperlink" Target="http://www.geography.org.uk/download/GA_PRGTIPBrooksMLevelCriteria.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ss.brad.ac.uk/" TargetMode="External"/><Relationship Id="rId11" Type="http://schemas.openxmlformats.org/officeDocument/2006/relationships/fontTable" Target="fontTable.xml"/><Relationship Id="rId5" Type="http://schemas.openxmlformats.org/officeDocument/2006/relationships/hyperlink" Target="http://sally-brown.net/wp-content/uploads/downloads/2012/09/120829_8791_AssmilateProjectCompendium_WEB.pdf" TargetMode="External"/><Relationship Id="rId10" Type="http://schemas.openxmlformats.org/officeDocument/2006/relationships/hyperlink" Target="http://www.qaa.ac.uk/academicinfrastructure/benchmark/masters/MastersDegreeCharacteristics.pdf" TargetMode="External"/><Relationship Id="rId4" Type="http://schemas.openxmlformats.org/officeDocument/2006/relationships/webSettings" Target="webSettings.xml"/><Relationship Id="rId9" Type="http://schemas.openxmlformats.org/officeDocument/2006/relationships/hyperlink" Target="http://www.nzqa.govt.nz/assets/Studying-in-NZ/New-Zealand-Qualification-Framework/theregister-booklet.pdf%20%20(accessed%20March%202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1701</Words>
  <Characters>9698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Leeds Metropolitan University</Company>
  <LinksUpToDate>false</LinksUpToDate>
  <CharactersWithSpaces>11377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2010 Ipod</cp:lastModifiedBy>
  <cp:revision>2</cp:revision>
  <dcterms:created xsi:type="dcterms:W3CDTF">2013-05-14T08:29:00Z</dcterms:created>
  <dcterms:modified xsi:type="dcterms:W3CDTF">2013-05-14T08:29:00Z</dcterms:modified>
</cp:coreProperties>
</file>