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493" w:rsidRPr="00FA711A" w:rsidRDefault="007D3F94" w:rsidP="007D3F94">
      <w:pPr>
        <w:rPr>
          <w:b/>
          <w:sz w:val="28"/>
          <w:szCs w:val="28"/>
        </w:rPr>
      </w:pPr>
      <w:r w:rsidRPr="00FA711A">
        <w:rPr>
          <w:b/>
          <w:sz w:val="28"/>
          <w:szCs w:val="28"/>
        </w:rPr>
        <w:t>Internationalisation: what’s the problem?</w:t>
      </w:r>
    </w:p>
    <w:p w:rsidR="00FA711A" w:rsidRPr="007D3F94" w:rsidRDefault="00FA711A" w:rsidP="007D3F94">
      <w:pPr>
        <w:rPr>
          <w:b/>
          <w:sz w:val="24"/>
          <w:szCs w:val="24"/>
        </w:rPr>
      </w:pPr>
      <w:r>
        <w:rPr>
          <w:b/>
          <w:sz w:val="24"/>
          <w:szCs w:val="24"/>
        </w:rPr>
        <w:t>Sally Brown Thursday 24</w:t>
      </w:r>
      <w:r w:rsidRPr="00FA711A">
        <w:rPr>
          <w:b/>
          <w:sz w:val="24"/>
          <w:szCs w:val="24"/>
          <w:vertAlign w:val="superscript"/>
        </w:rPr>
        <w:t>th</w:t>
      </w:r>
      <w:r>
        <w:rPr>
          <w:b/>
          <w:sz w:val="24"/>
          <w:szCs w:val="24"/>
        </w:rPr>
        <w:t xml:space="preserve"> May 2012</w:t>
      </w:r>
    </w:p>
    <w:p w:rsidR="007D3F94" w:rsidRPr="007D3F94" w:rsidRDefault="007D3F94" w:rsidP="007D3F94">
      <w:pPr>
        <w:rPr>
          <w:sz w:val="24"/>
          <w:szCs w:val="24"/>
        </w:rPr>
      </w:pPr>
      <w:r w:rsidRPr="007D3F94">
        <w:rPr>
          <w:sz w:val="24"/>
          <w:szCs w:val="24"/>
        </w:rPr>
        <w:t>No problem, just opportunities!</w:t>
      </w:r>
    </w:p>
    <w:p w:rsidR="007D3F94" w:rsidRPr="007D3F94" w:rsidRDefault="007D3F94" w:rsidP="007D3F94">
      <w:pPr>
        <w:rPr>
          <w:sz w:val="24"/>
          <w:szCs w:val="24"/>
        </w:rPr>
      </w:pPr>
      <w:r w:rsidRPr="007D3F94">
        <w:rPr>
          <w:sz w:val="24"/>
          <w:szCs w:val="24"/>
          <w:lang w:val="en-IE"/>
        </w:rPr>
        <w:t xml:space="preserve">OECD’s (1994) definition of internationalised curricula: </w:t>
      </w:r>
    </w:p>
    <w:p w:rsidR="00000000" w:rsidRPr="007D3F94" w:rsidRDefault="009A18EB" w:rsidP="007D3F94">
      <w:pPr>
        <w:numPr>
          <w:ilvl w:val="0"/>
          <w:numId w:val="1"/>
        </w:numPr>
        <w:rPr>
          <w:sz w:val="24"/>
          <w:szCs w:val="24"/>
        </w:rPr>
      </w:pPr>
      <w:r w:rsidRPr="007D3F94">
        <w:rPr>
          <w:sz w:val="24"/>
          <w:szCs w:val="24"/>
          <w:lang w:val="en-IE"/>
        </w:rPr>
        <w:t xml:space="preserve">“Curricula with an international orientation in content, aimed at preparing students for performing (professionally/socially) in an international and multicultural </w:t>
      </w:r>
      <w:r w:rsidRPr="007D3F94">
        <w:rPr>
          <w:sz w:val="24"/>
          <w:szCs w:val="24"/>
          <w:lang w:val="en-IE"/>
        </w:rPr>
        <w:t>context and designed for domestic students as well as foreign students.”</w:t>
      </w:r>
    </w:p>
    <w:p w:rsidR="00000000" w:rsidRPr="007D3F94" w:rsidRDefault="009A18EB" w:rsidP="007D3F94">
      <w:pPr>
        <w:numPr>
          <w:ilvl w:val="0"/>
          <w:numId w:val="1"/>
        </w:numPr>
        <w:rPr>
          <w:sz w:val="24"/>
          <w:szCs w:val="24"/>
        </w:rPr>
      </w:pPr>
      <w:r w:rsidRPr="007D3F94">
        <w:rPr>
          <w:sz w:val="24"/>
          <w:szCs w:val="24"/>
          <w:lang w:val="en-IE"/>
        </w:rPr>
        <w:t>Ensure that the curriculum is developed to provide the international perspectives and competences that reflect a global workplace and international</w:t>
      </w:r>
      <w:r w:rsidRPr="007D3F94">
        <w:rPr>
          <w:sz w:val="24"/>
          <w:szCs w:val="24"/>
          <w:lang w:val="en-IE"/>
        </w:rPr>
        <w:t>ised social milieu</w:t>
      </w:r>
    </w:p>
    <w:p w:rsidR="00000000" w:rsidRPr="007D3F94" w:rsidRDefault="009A18EB" w:rsidP="007D3F94">
      <w:pPr>
        <w:numPr>
          <w:ilvl w:val="0"/>
          <w:numId w:val="1"/>
        </w:numPr>
        <w:rPr>
          <w:sz w:val="24"/>
          <w:szCs w:val="24"/>
        </w:rPr>
      </w:pPr>
      <w:r w:rsidRPr="007D3F94">
        <w:rPr>
          <w:sz w:val="24"/>
          <w:szCs w:val="24"/>
          <w:lang w:val="en-IE"/>
        </w:rPr>
        <w:t xml:space="preserve">It should be, wherever possible, equally appropriate for “local” and international students, allowing for cultural differences and variation in perspective. Indeed, it should use these differences and variations to enhance the learning </w:t>
      </w:r>
      <w:r w:rsidRPr="007D3F94">
        <w:rPr>
          <w:sz w:val="24"/>
          <w:szCs w:val="24"/>
          <w:lang w:val="en-IE"/>
        </w:rPr>
        <w:t xml:space="preserve">opportunities. </w:t>
      </w:r>
    </w:p>
    <w:p w:rsidR="007D3F94" w:rsidRPr="00FA711A" w:rsidRDefault="007D3F94" w:rsidP="007D3F94">
      <w:pPr>
        <w:rPr>
          <w:b/>
          <w:sz w:val="28"/>
          <w:szCs w:val="28"/>
          <w:lang w:val="en-IE"/>
        </w:rPr>
      </w:pPr>
      <w:r w:rsidRPr="00FA711A">
        <w:rPr>
          <w:b/>
          <w:sz w:val="28"/>
          <w:szCs w:val="28"/>
          <w:lang w:val="en-IE"/>
        </w:rPr>
        <w:t>Making it work at WIT</w:t>
      </w:r>
    </w:p>
    <w:p w:rsidR="007D3F94" w:rsidRPr="00FA711A" w:rsidRDefault="007D3F94" w:rsidP="00FA711A">
      <w:pPr>
        <w:pStyle w:val="ListParagraph"/>
        <w:numPr>
          <w:ilvl w:val="0"/>
          <w:numId w:val="2"/>
        </w:numPr>
        <w:spacing w:line="240" w:lineRule="auto"/>
        <w:rPr>
          <w:b/>
          <w:sz w:val="24"/>
          <w:szCs w:val="24"/>
          <w:lang w:val="en-IE"/>
        </w:rPr>
      </w:pPr>
      <w:r w:rsidRPr="00FA711A">
        <w:rPr>
          <w:b/>
          <w:sz w:val="24"/>
          <w:szCs w:val="24"/>
          <w:lang w:val="en-IE"/>
        </w:rPr>
        <w:t>Diverse pedagogies</w:t>
      </w:r>
    </w:p>
    <w:p w:rsidR="00FA711A" w:rsidRDefault="00FA711A" w:rsidP="00FA711A">
      <w:pPr>
        <w:spacing w:line="240" w:lineRule="auto"/>
        <w:ind w:left="360"/>
        <w:rPr>
          <w:sz w:val="24"/>
          <w:szCs w:val="24"/>
          <w:lang w:val="en-IE"/>
        </w:rPr>
      </w:pPr>
      <w:r>
        <w:rPr>
          <w:sz w:val="24"/>
          <w:szCs w:val="24"/>
          <w:lang w:val="en-IE"/>
        </w:rPr>
        <w:t>Classroom practices</w:t>
      </w:r>
    </w:p>
    <w:p w:rsidR="007D3F94" w:rsidRPr="007D3F94" w:rsidRDefault="007D3F94" w:rsidP="00FA711A">
      <w:pPr>
        <w:spacing w:line="240" w:lineRule="auto"/>
        <w:ind w:left="360"/>
        <w:rPr>
          <w:sz w:val="24"/>
          <w:szCs w:val="24"/>
          <w:lang w:val="en-IE"/>
        </w:rPr>
      </w:pPr>
      <w:r w:rsidRPr="007D3F94">
        <w:rPr>
          <w:sz w:val="24"/>
          <w:szCs w:val="24"/>
          <w:lang w:val="en-IE"/>
        </w:rPr>
        <w:t>Relationships between academics and students</w:t>
      </w:r>
    </w:p>
    <w:p w:rsidR="007D3F94" w:rsidRPr="007D3F94" w:rsidRDefault="007D3F94" w:rsidP="00FA711A">
      <w:pPr>
        <w:spacing w:line="240" w:lineRule="auto"/>
        <w:ind w:left="360"/>
        <w:rPr>
          <w:sz w:val="24"/>
          <w:szCs w:val="24"/>
          <w:lang w:val="en-IE"/>
        </w:rPr>
      </w:pPr>
      <w:r w:rsidRPr="007D3F94">
        <w:rPr>
          <w:sz w:val="24"/>
          <w:szCs w:val="24"/>
          <w:lang w:val="en-IE"/>
        </w:rPr>
        <w:t>Asking and answering questions</w:t>
      </w:r>
    </w:p>
    <w:p w:rsidR="007D3F94" w:rsidRDefault="007D3F94" w:rsidP="00FA711A">
      <w:pPr>
        <w:spacing w:line="240" w:lineRule="auto"/>
        <w:ind w:left="360"/>
        <w:rPr>
          <w:sz w:val="24"/>
          <w:szCs w:val="24"/>
          <w:lang w:val="en-IE"/>
        </w:rPr>
      </w:pPr>
      <w:r w:rsidRPr="007D3F94">
        <w:rPr>
          <w:sz w:val="24"/>
          <w:szCs w:val="24"/>
          <w:lang w:val="en-IE"/>
        </w:rPr>
        <w:t>Conventions re written work</w:t>
      </w:r>
    </w:p>
    <w:p w:rsidR="00FA711A" w:rsidRPr="007D3F94" w:rsidRDefault="00FA711A" w:rsidP="00FA711A">
      <w:pPr>
        <w:spacing w:line="240" w:lineRule="auto"/>
        <w:ind w:left="360"/>
        <w:rPr>
          <w:sz w:val="24"/>
          <w:szCs w:val="24"/>
          <w:lang w:val="en-IE"/>
        </w:rPr>
      </w:pPr>
      <w:r w:rsidRPr="007D3F94">
        <w:rPr>
          <w:sz w:val="24"/>
          <w:szCs w:val="24"/>
          <w:lang w:val="en-IE"/>
        </w:rPr>
        <w:t>Extent and nature of technologies</w:t>
      </w:r>
      <w:r>
        <w:rPr>
          <w:sz w:val="24"/>
          <w:szCs w:val="24"/>
          <w:lang w:val="en-IE"/>
        </w:rPr>
        <w:t xml:space="preserve"> </w:t>
      </w:r>
    </w:p>
    <w:p w:rsidR="007D3F94" w:rsidRPr="007D3F94" w:rsidRDefault="007D3F94" w:rsidP="00FA711A">
      <w:pPr>
        <w:spacing w:line="240" w:lineRule="auto"/>
        <w:rPr>
          <w:sz w:val="24"/>
          <w:szCs w:val="24"/>
          <w:lang w:val="en-IE"/>
        </w:rPr>
      </w:pPr>
    </w:p>
    <w:p w:rsidR="00FA711A" w:rsidRPr="00FA711A" w:rsidRDefault="00FA711A" w:rsidP="00FA711A">
      <w:pPr>
        <w:pStyle w:val="ListParagraph"/>
        <w:numPr>
          <w:ilvl w:val="0"/>
          <w:numId w:val="2"/>
        </w:numPr>
        <w:spacing w:line="240" w:lineRule="auto"/>
        <w:rPr>
          <w:b/>
          <w:sz w:val="24"/>
          <w:szCs w:val="24"/>
          <w:lang w:val="en-IE"/>
        </w:rPr>
      </w:pPr>
      <w:r w:rsidRPr="00FA711A">
        <w:rPr>
          <w:b/>
          <w:sz w:val="24"/>
          <w:szCs w:val="24"/>
          <w:lang w:val="en-IE"/>
        </w:rPr>
        <w:t>Curriculum issues</w:t>
      </w:r>
    </w:p>
    <w:p w:rsidR="00FA711A" w:rsidRDefault="00FA711A" w:rsidP="00FA711A">
      <w:pPr>
        <w:spacing w:line="240" w:lineRule="auto"/>
        <w:ind w:left="360"/>
        <w:rPr>
          <w:sz w:val="24"/>
          <w:szCs w:val="24"/>
          <w:lang w:val="en-IE"/>
        </w:rPr>
      </w:pPr>
      <w:r>
        <w:rPr>
          <w:sz w:val="24"/>
          <w:szCs w:val="24"/>
          <w:lang w:val="en-IE"/>
        </w:rPr>
        <w:t>International subject material</w:t>
      </w:r>
    </w:p>
    <w:p w:rsidR="00FA711A" w:rsidRDefault="00FA711A" w:rsidP="00FA711A">
      <w:pPr>
        <w:spacing w:line="240" w:lineRule="auto"/>
        <w:ind w:left="360"/>
        <w:rPr>
          <w:sz w:val="24"/>
          <w:szCs w:val="24"/>
          <w:lang w:val="en-IE"/>
        </w:rPr>
      </w:pPr>
      <w:r w:rsidRPr="00FA711A">
        <w:rPr>
          <w:sz w:val="24"/>
          <w:szCs w:val="24"/>
          <w:lang w:val="en-IE"/>
        </w:rPr>
        <w:t>Examples and case</w:t>
      </w:r>
      <w:r>
        <w:rPr>
          <w:sz w:val="24"/>
          <w:szCs w:val="24"/>
          <w:lang w:val="en-IE"/>
        </w:rPr>
        <w:t xml:space="preserve"> studies that are truly interna</w:t>
      </w:r>
      <w:r w:rsidRPr="00FA711A">
        <w:rPr>
          <w:sz w:val="24"/>
          <w:szCs w:val="24"/>
          <w:lang w:val="en-IE"/>
        </w:rPr>
        <w:t>tional</w:t>
      </w:r>
    </w:p>
    <w:p w:rsidR="009A18EB" w:rsidRPr="00FA711A" w:rsidRDefault="009A18EB" w:rsidP="00FA711A">
      <w:pPr>
        <w:spacing w:line="240" w:lineRule="auto"/>
        <w:ind w:left="360"/>
        <w:rPr>
          <w:sz w:val="24"/>
          <w:szCs w:val="24"/>
          <w:lang w:val="en-IE"/>
        </w:rPr>
      </w:pPr>
      <w:r>
        <w:rPr>
          <w:sz w:val="24"/>
          <w:szCs w:val="24"/>
          <w:lang w:val="en-IE"/>
        </w:rPr>
        <w:t>Understanding approaches based on learning outcomes and links to assessment</w:t>
      </w:r>
    </w:p>
    <w:p w:rsidR="00FA711A" w:rsidRDefault="00FA711A" w:rsidP="00FA711A">
      <w:pPr>
        <w:spacing w:line="240" w:lineRule="auto"/>
        <w:rPr>
          <w:b/>
          <w:sz w:val="24"/>
          <w:szCs w:val="24"/>
          <w:lang w:val="en-IE"/>
        </w:rPr>
      </w:pPr>
    </w:p>
    <w:p w:rsidR="007D3F94" w:rsidRPr="00FA711A" w:rsidRDefault="007D3F94" w:rsidP="00FA711A">
      <w:pPr>
        <w:pStyle w:val="ListParagraph"/>
        <w:numPr>
          <w:ilvl w:val="0"/>
          <w:numId w:val="2"/>
        </w:numPr>
        <w:spacing w:line="240" w:lineRule="auto"/>
        <w:rPr>
          <w:b/>
          <w:sz w:val="24"/>
          <w:szCs w:val="24"/>
          <w:lang w:val="en-IE"/>
        </w:rPr>
      </w:pPr>
      <w:r w:rsidRPr="00FA711A">
        <w:rPr>
          <w:b/>
          <w:sz w:val="24"/>
          <w:szCs w:val="24"/>
          <w:lang w:val="en-IE"/>
        </w:rPr>
        <w:t>Assessment expectations</w:t>
      </w:r>
    </w:p>
    <w:p w:rsidR="007D3F94" w:rsidRPr="007D3F94" w:rsidRDefault="007D3F94" w:rsidP="00FA711A">
      <w:pPr>
        <w:spacing w:line="240" w:lineRule="auto"/>
        <w:ind w:left="360"/>
        <w:rPr>
          <w:sz w:val="24"/>
          <w:szCs w:val="24"/>
          <w:lang w:val="en-IE"/>
        </w:rPr>
      </w:pPr>
      <w:r w:rsidRPr="007D3F94">
        <w:rPr>
          <w:sz w:val="24"/>
          <w:szCs w:val="24"/>
          <w:lang w:val="en-IE"/>
        </w:rPr>
        <w:t>Size and scope of assignments</w:t>
      </w:r>
      <w:r w:rsidR="009A18EB">
        <w:rPr>
          <w:sz w:val="24"/>
          <w:szCs w:val="24"/>
          <w:lang w:val="en-IE"/>
        </w:rPr>
        <w:t>: how many words?</w:t>
      </w:r>
    </w:p>
    <w:p w:rsidR="009A18EB" w:rsidRDefault="009A18EB" w:rsidP="00FA711A">
      <w:pPr>
        <w:spacing w:line="240" w:lineRule="auto"/>
        <w:ind w:left="360"/>
        <w:rPr>
          <w:sz w:val="24"/>
          <w:szCs w:val="24"/>
          <w:lang w:val="en-IE"/>
        </w:rPr>
      </w:pPr>
      <w:r>
        <w:rPr>
          <w:sz w:val="24"/>
          <w:szCs w:val="24"/>
          <w:lang w:val="en-IE"/>
        </w:rPr>
        <w:t>Incremental or sudden death assessment?</w:t>
      </w:r>
    </w:p>
    <w:p w:rsidR="007D3F94" w:rsidRPr="007D3F94" w:rsidRDefault="007D3F94" w:rsidP="00FA711A">
      <w:pPr>
        <w:spacing w:line="240" w:lineRule="auto"/>
        <w:ind w:left="360"/>
        <w:rPr>
          <w:sz w:val="24"/>
          <w:szCs w:val="24"/>
          <w:lang w:val="en-IE"/>
        </w:rPr>
      </w:pPr>
      <w:r w:rsidRPr="007D3F94">
        <w:rPr>
          <w:sz w:val="24"/>
          <w:szCs w:val="24"/>
          <w:lang w:val="en-IE"/>
        </w:rPr>
        <w:t>Marking conventions</w:t>
      </w:r>
      <w:r w:rsidR="00FA711A">
        <w:rPr>
          <w:sz w:val="24"/>
          <w:szCs w:val="24"/>
          <w:lang w:val="en-IE"/>
        </w:rPr>
        <w:t>: what does B+ mean?</w:t>
      </w:r>
    </w:p>
    <w:p w:rsidR="007D3F94" w:rsidRDefault="007D3F94" w:rsidP="00FA711A">
      <w:pPr>
        <w:spacing w:line="240" w:lineRule="auto"/>
        <w:ind w:left="360"/>
        <w:rPr>
          <w:sz w:val="24"/>
          <w:szCs w:val="24"/>
          <w:lang w:val="en-IE"/>
        </w:rPr>
      </w:pPr>
      <w:r w:rsidRPr="007D3F94">
        <w:rPr>
          <w:sz w:val="24"/>
          <w:szCs w:val="24"/>
          <w:lang w:val="en-IE"/>
        </w:rPr>
        <w:lastRenderedPageBreak/>
        <w:t>Group work or not?</w:t>
      </w:r>
    </w:p>
    <w:p w:rsidR="00FA711A" w:rsidRDefault="00FA711A" w:rsidP="00FA711A">
      <w:pPr>
        <w:spacing w:line="240" w:lineRule="auto"/>
        <w:ind w:left="360"/>
        <w:rPr>
          <w:sz w:val="24"/>
          <w:szCs w:val="24"/>
          <w:lang w:val="en-IE"/>
        </w:rPr>
      </w:pPr>
      <w:r>
        <w:rPr>
          <w:sz w:val="24"/>
          <w:szCs w:val="24"/>
          <w:lang w:val="en-IE"/>
        </w:rPr>
        <w:t>Oral assessment</w:t>
      </w:r>
    </w:p>
    <w:p w:rsidR="00FA711A" w:rsidRPr="007D3F94" w:rsidRDefault="00FA711A" w:rsidP="00FA711A">
      <w:pPr>
        <w:spacing w:line="240" w:lineRule="auto"/>
        <w:ind w:left="360"/>
        <w:rPr>
          <w:sz w:val="24"/>
          <w:szCs w:val="24"/>
          <w:lang w:val="en-IE"/>
        </w:rPr>
      </w:pPr>
      <w:r>
        <w:rPr>
          <w:sz w:val="24"/>
          <w:szCs w:val="24"/>
          <w:lang w:val="en-IE"/>
        </w:rPr>
        <w:t>Type and extent of feedback</w:t>
      </w:r>
    </w:p>
    <w:p w:rsidR="007D3F94" w:rsidRPr="007D3F94" w:rsidRDefault="007D3F94" w:rsidP="00FA711A">
      <w:pPr>
        <w:spacing w:line="240" w:lineRule="auto"/>
        <w:rPr>
          <w:sz w:val="24"/>
          <w:szCs w:val="24"/>
          <w:lang w:val="en-IE"/>
        </w:rPr>
      </w:pPr>
    </w:p>
    <w:p w:rsidR="007D3F94" w:rsidRPr="00FA711A" w:rsidRDefault="007D3F94" w:rsidP="00FA711A">
      <w:pPr>
        <w:pStyle w:val="ListParagraph"/>
        <w:numPr>
          <w:ilvl w:val="0"/>
          <w:numId w:val="2"/>
        </w:numPr>
        <w:spacing w:line="240" w:lineRule="auto"/>
        <w:rPr>
          <w:b/>
          <w:sz w:val="24"/>
          <w:szCs w:val="24"/>
          <w:lang w:val="en-IE"/>
        </w:rPr>
      </w:pPr>
      <w:r w:rsidRPr="00FA711A">
        <w:rPr>
          <w:b/>
          <w:sz w:val="24"/>
          <w:szCs w:val="24"/>
          <w:lang w:val="en-IE"/>
        </w:rPr>
        <w:t>Student issues</w:t>
      </w:r>
    </w:p>
    <w:p w:rsidR="009A18EB" w:rsidRDefault="009A18EB" w:rsidP="00FA711A">
      <w:pPr>
        <w:spacing w:line="240" w:lineRule="auto"/>
        <w:ind w:left="360"/>
        <w:rPr>
          <w:sz w:val="24"/>
          <w:szCs w:val="24"/>
          <w:lang w:val="en-IE"/>
        </w:rPr>
      </w:pPr>
      <w:r>
        <w:rPr>
          <w:sz w:val="24"/>
          <w:szCs w:val="24"/>
          <w:lang w:val="en-IE"/>
        </w:rPr>
        <w:t>Admission issues</w:t>
      </w:r>
    </w:p>
    <w:p w:rsidR="007D3F94" w:rsidRPr="007D3F94" w:rsidRDefault="007D3F94" w:rsidP="00FA711A">
      <w:pPr>
        <w:spacing w:line="240" w:lineRule="auto"/>
        <w:ind w:left="360"/>
        <w:rPr>
          <w:sz w:val="24"/>
          <w:szCs w:val="24"/>
          <w:lang w:val="en-IE"/>
        </w:rPr>
      </w:pPr>
      <w:r w:rsidRPr="007D3F94">
        <w:rPr>
          <w:sz w:val="24"/>
          <w:szCs w:val="24"/>
          <w:lang w:val="en-IE"/>
        </w:rPr>
        <w:t>Induction into Irish context</w:t>
      </w:r>
      <w:r w:rsidR="00FA711A">
        <w:rPr>
          <w:sz w:val="24"/>
          <w:szCs w:val="24"/>
          <w:lang w:val="en-IE"/>
        </w:rPr>
        <w:t xml:space="preserve"> (generic or international induction, or scones!)</w:t>
      </w:r>
    </w:p>
    <w:p w:rsidR="007D3F94" w:rsidRDefault="007D3F94" w:rsidP="00FA711A">
      <w:pPr>
        <w:spacing w:line="240" w:lineRule="auto"/>
        <w:ind w:left="360"/>
        <w:rPr>
          <w:sz w:val="24"/>
          <w:szCs w:val="24"/>
          <w:lang w:val="en-IE"/>
        </w:rPr>
      </w:pPr>
      <w:r w:rsidRPr="007D3F94">
        <w:rPr>
          <w:sz w:val="24"/>
          <w:szCs w:val="24"/>
          <w:lang w:val="en-IE"/>
        </w:rPr>
        <w:t>Working and living with fellow nationa</w:t>
      </w:r>
      <w:r w:rsidR="00FA711A">
        <w:rPr>
          <w:sz w:val="24"/>
          <w:szCs w:val="24"/>
          <w:lang w:val="en-IE"/>
        </w:rPr>
        <w:t>l</w:t>
      </w:r>
      <w:r w:rsidRPr="007D3F94">
        <w:rPr>
          <w:sz w:val="24"/>
          <w:szCs w:val="24"/>
          <w:lang w:val="en-IE"/>
        </w:rPr>
        <w:t>s</w:t>
      </w:r>
    </w:p>
    <w:p w:rsidR="00FA711A" w:rsidRDefault="00FA711A" w:rsidP="00FA711A">
      <w:pPr>
        <w:spacing w:line="240" w:lineRule="auto"/>
        <w:ind w:left="360"/>
        <w:rPr>
          <w:sz w:val="24"/>
          <w:szCs w:val="24"/>
          <w:lang w:val="en-IE"/>
        </w:rPr>
      </w:pPr>
      <w:r>
        <w:rPr>
          <w:sz w:val="24"/>
          <w:szCs w:val="24"/>
          <w:lang w:val="en-IE"/>
        </w:rPr>
        <w:t>Making friends, working in groups</w:t>
      </w:r>
    </w:p>
    <w:p w:rsidR="00FA711A" w:rsidRDefault="00FA711A" w:rsidP="00FA711A">
      <w:pPr>
        <w:spacing w:line="240" w:lineRule="auto"/>
        <w:ind w:left="360"/>
        <w:rPr>
          <w:sz w:val="24"/>
          <w:szCs w:val="24"/>
          <w:lang w:val="en-IE"/>
        </w:rPr>
      </w:pPr>
      <w:r>
        <w:rPr>
          <w:sz w:val="24"/>
          <w:szCs w:val="24"/>
          <w:lang w:val="en-IE"/>
        </w:rPr>
        <w:t xml:space="preserve">Support (academic, pastoral, language, </w:t>
      </w:r>
      <w:r w:rsidR="009A18EB">
        <w:rPr>
          <w:sz w:val="24"/>
          <w:szCs w:val="24"/>
          <w:lang w:val="en-IE"/>
        </w:rPr>
        <w:t xml:space="preserve">accommodation, </w:t>
      </w:r>
      <w:r>
        <w:rPr>
          <w:sz w:val="24"/>
          <w:szCs w:val="24"/>
          <w:lang w:val="en-IE"/>
        </w:rPr>
        <w:t>crisis)</w:t>
      </w:r>
    </w:p>
    <w:p w:rsidR="009A18EB" w:rsidRPr="007D3F94" w:rsidRDefault="009A18EB" w:rsidP="00FA711A">
      <w:pPr>
        <w:spacing w:line="240" w:lineRule="auto"/>
        <w:ind w:left="360"/>
        <w:rPr>
          <w:sz w:val="24"/>
          <w:szCs w:val="24"/>
          <w:lang w:val="en-IE"/>
        </w:rPr>
      </w:pPr>
      <w:r>
        <w:rPr>
          <w:sz w:val="24"/>
          <w:szCs w:val="24"/>
          <w:lang w:val="en-IE"/>
        </w:rPr>
        <w:t>Easing communications with home</w:t>
      </w:r>
    </w:p>
    <w:p w:rsidR="007D3F94" w:rsidRPr="007D3F94" w:rsidRDefault="007D3F94" w:rsidP="00FA711A">
      <w:pPr>
        <w:spacing w:line="240" w:lineRule="auto"/>
        <w:rPr>
          <w:sz w:val="24"/>
          <w:szCs w:val="24"/>
          <w:lang w:val="en-IE"/>
        </w:rPr>
      </w:pPr>
    </w:p>
    <w:p w:rsidR="007D3F94" w:rsidRDefault="00FA711A" w:rsidP="007D3F94">
      <w:pPr>
        <w:rPr>
          <w:b/>
          <w:sz w:val="28"/>
          <w:szCs w:val="28"/>
        </w:rPr>
      </w:pPr>
      <w:r w:rsidRPr="00FA711A">
        <w:rPr>
          <w:b/>
          <w:sz w:val="28"/>
          <w:szCs w:val="28"/>
        </w:rPr>
        <w:t>Developing partnerships</w:t>
      </w:r>
    </w:p>
    <w:p w:rsidR="00FA711A" w:rsidRDefault="00FA711A" w:rsidP="00FA711A">
      <w:pPr>
        <w:pStyle w:val="ListParagraph"/>
        <w:numPr>
          <w:ilvl w:val="0"/>
          <w:numId w:val="3"/>
        </w:numPr>
        <w:rPr>
          <w:sz w:val="24"/>
          <w:szCs w:val="24"/>
        </w:rPr>
      </w:pPr>
      <w:r>
        <w:rPr>
          <w:sz w:val="24"/>
          <w:szCs w:val="24"/>
        </w:rPr>
        <w:t>No quick fixes</w:t>
      </w:r>
    </w:p>
    <w:p w:rsidR="00FA711A" w:rsidRDefault="00FA711A" w:rsidP="00FA711A">
      <w:pPr>
        <w:pStyle w:val="ListParagraph"/>
        <w:numPr>
          <w:ilvl w:val="0"/>
          <w:numId w:val="3"/>
        </w:numPr>
        <w:rPr>
          <w:sz w:val="24"/>
          <w:szCs w:val="24"/>
        </w:rPr>
      </w:pPr>
      <w:r w:rsidRPr="00FA711A">
        <w:rPr>
          <w:sz w:val="24"/>
          <w:szCs w:val="24"/>
        </w:rPr>
        <w:t>The right kinds of partnerships</w:t>
      </w:r>
      <w:r w:rsidR="009A18EB">
        <w:rPr>
          <w:sz w:val="24"/>
          <w:szCs w:val="24"/>
        </w:rPr>
        <w:t>: strategic vision needed</w:t>
      </w:r>
    </w:p>
    <w:p w:rsidR="009A18EB" w:rsidRDefault="009A18EB" w:rsidP="00FA711A">
      <w:pPr>
        <w:pStyle w:val="ListParagraph"/>
        <w:numPr>
          <w:ilvl w:val="0"/>
          <w:numId w:val="3"/>
        </w:numPr>
        <w:rPr>
          <w:sz w:val="24"/>
          <w:szCs w:val="24"/>
        </w:rPr>
      </w:pPr>
      <w:r>
        <w:rPr>
          <w:sz w:val="24"/>
          <w:szCs w:val="24"/>
        </w:rPr>
        <w:t>What are your partnerships for?</w:t>
      </w:r>
    </w:p>
    <w:p w:rsidR="00FA711A" w:rsidRDefault="00FA711A" w:rsidP="00FA711A">
      <w:pPr>
        <w:pStyle w:val="ListParagraph"/>
        <w:numPr>
          <w:ilvl w:val="0"/>
          <w:numId w:val="3"/>
        </w:numPr>
        <w:rPr>
          <w:sz w:val="24"/>
          <w:szCs w:val="24"/>
        </w:rPr>
      </w:pPr>
      <w:r>
        <w:rPr>
          <w:sz w:val="24"/>
          <w:szCs w:val="24"/>
        </w:rPr>
        <w:t>Quality really matters: understand the contexts</w:t>
      </w:r>
    </w:p>
    <w:p w:rsidR="00FA711A" w:rsidRPr="00FA711A" w:rsidRDefault="00FA711A" w:rsidP="00FA711A">
      <w:pPr>
        <w:pStyle w:val="ListParagraph"/>
        <w:numPr>
          <w:ilvl w:val="0"/>
          <w:numId w:val="3"/>
        </w:numPr>
        <w:rPr>
          <w:sz w:val="24"/>
          <w:szCs w:val="24"/>
        </w:rPr>
      </w:pPr>
      <w:r>
        <w:rPr>
          <w:sz w:val="24"/>
          <w:szCs w:val="24"/>
        </w:rPr>
        <w:t xml:space="preserve">Do the sums right (true </w:t>
      </w:r>
      <w:proofErr w:type="spellStart"/>
      <w:r>
        <w:rPr>
          <w:sz w:val="24"/>
          <w:szCs w:val="24"/>
        </w:rPr>
        <w:t>costings</w:t>
      </w:r>
      <w:proofErr w:type="spellEnd"/>
      <w:r>
        <w:rPr>
          <w:sz w:val="24"/>
          <w:szCs w:val="24"/>
        </w:rPr>
        <w:t>)!</w:t>
      </w:r>
    </w:p>
    <w:p w:rsidR="007D3F94" w:rsidRPr="007D3F94" w:rsidRDefault="007D3F94" w:rsidP="007D3F94">
      <w:pPr>
        <w:rPr>
          <w:sz w:val="24"/>
          <w:szCs w:val="24"/>
        </w:rPr>
      </w:pPr>
    </w:p>
    <w:p w:rsidR="007D3F94" w:rsidRPr="007D3F94" w:rsidRDefault="007D3F94" w:rsidP="007D3F94">
      <w:pPr>
        <w:rPr>
          <w:b/>
          <w:sz w:val="24"/>
          <w:szCs w:val="24"/>
        </w:rPr>
      </w:pPr>
      <w:r w:rsidRPr="007D3F94">
        <w:rPr>
          <w:b/>
          <w:sz w:val="24"/>
          <w:szCs w:val="24"/>
        </w:rPr>
        <w:t>References</w:t>
      </w:r>
    </w:p>
    <w:p w:rsidR="007D3F94" w:rsidRPr="007D3F94" w:rsidRDefault="007D3F94" w:rsidP="007D3F94">
      <w:pPr>
        <w:pStyle w:val="FootnoteText"/>
        <w:spacing w:line="276" w:lineRule="auto"/>
        <w:ind w:left="851" w:hanging="851"/>
        <w:rPr>
          <w:rFonts w:asciiTheme="minorHAnsi" w:hAnsiTheme="minorHAnsi" w:cs="Arial"/>
          <w:sz w:val="24"/>
          <w:szCs w:val="24"/>
        </w:rPr>
      </w:pPr>
      <w:r w:rsidRPr="007D3F94">
        <w:rPr>
          <w:rFonts w:asciiTheme="minorHAnsi" w:hAnsiTheme="minorHAnsi" w:cs="Arial"/>
          <w:sz w:val="24"/>
          <w:szCs w:val="24"/>
        </w:rPr>
        <w:t xml:space="preserve">Carroll, J. and Ryan, J. (2005) </w:t>
      </w:r>
      <w:r w:rsidRPr="007D3F94">
        <w:rPr>
          <w:rFonts w:asciiTheme="minorHAnsi" w:hAnsiTheme="minorHAnsi" w:cs="Arial"/>
          <w:i/>
          <w:iCs/>
          <w:sz w:val="24"/>
          <w:szCs w:val="24"/>
        </w:rPr>
        <w:t>Teaching International students: improving learning for all,</w:t>
      </w:r>
      <w:r w:rsidRPr="007D3F94">
        <w:rPr>
          <w:rFonts w:asciiTheme="minorHAnsi" w:hAnsiTheme="minorHAnsi" w:cs="Arial"/>
          <w:sz w:val="24"/>
          <w:szCs w:val="24"/>
        </w:rPr>
        <w:t xml:space="preserve"> London: Routledge SEDA series.</w:t>
      </w:r>
    </w:p>
    <w:p w:rsidR="007D3F94" w:rsidRPr="007D3F94" w:rsidRDefault="007D3F94" w:rsidP="007D3F94">
      <w:pPr>
        <w:widowControl w:val="0"/>
        <w:ind w:left="851" w:right="3" w:hanging="851"/>
        <w:rPr>
          <w:rFonts w:cs="Arial"/>
          <w:sz w:val="24"/>
          <w:szCs w:val="24"/>
        </w:rPr>
      </w:pPr>
      <w:r w:rsidRPr="007D3F94">
        <w:rPr>
          <w:sz w:val="24"/>
          <w:szCs w:val="24"/>
        </w:rPr>
        <w:t xml:space="preserve">Jones, E. and Brown,  S. </w:t>
      </w:r>
      <w:r w:rsidRPr="007D3F94">
        <w:rPr>
          <w:rFonts w:cs="Arial"/>
          <w:sz w:val="24"/>
          <w:szCs w:val="24"/>
        </w:rPr>
        <w:t xml:space="preserve">(2007) </w:t>
      </w:r>
      <w:r w:rsidRPr="007D3F94">
        <w:rPr>
          <w:rFonts w:cs="Arial"/>
          <w:sz w:val="24"/>
          <w:szCs w:val="24"/>
        </w:rPr>
        <w:tab/>
      </w:r>
      <w:r w:rsidRPr="007D3F94">
        <w:rPr>
          <w:rFonts w:cs="Arial"/>
          <w:i/>
          <w:sz w:val="24"/>
          <w:szCs w:val="24"/>
        </w:rPr>
        <w:t xml:space="preserve">Internationalising higher education, </w:t>
      </w:r>
      <w:r w:rsidRPr="007D3F94">
        <w:rPr>
          <w:rFonts w:cs="Arial"/>
          <w:sz w:val="24"/>
          <w:szCs w:val="24"/>
        </w:rPr>
        <w:t xml:space="preserve">London: Routledge </w:t>
      </w:r>
    </w:p>
    <w:p w:rsidR="007D3F94" w:rsidRPr="007D3F94" w:rsidRDefault="007D3F94" w:rsidP="007D3F94">
      <w:pPr>
        <w:ind w:left="851" w:hanging="851"/>
        <w:rPr>
          <w:rFonts w:cs="Arial"/>
          <w:sz w:val="24"/>
          <w:szCs w:val="24"/>
        </w:rPr>
      </w:pPr>
      <w:r w:rsidRPr="007D3F94">
        <w:rPr>
          <w:rFonts w:cs="Arial"/>
          <w:bCs/>
          <w:sz w:val="24"/>
          <w:szCs w:val="24"/>
        </w:rPr>
        <w:t xml:space="preserve">Ryan, J. (2000) </w:t>
      </w:r>
      <w:r w:rsidRPr="007D3F94">
        <w:rPr>
          <w:rFonts w:cs="Arial"/>
          <w:bCs/>
          <w:i/>
          <w:iCs/>
          <w:sz w:val="24"/>
          <w:szCs w:val="24"/>
        </w:rPr>
        <w:t>A Guide to Teaching International Students,</w:t>
      </w:r>
      <w:r w:rsidRPr="007D3F94">
        <w:rPr>
          <w:rFonts w:cs="Arial"/>
          <w:bCs/>
          <w:sz w:val="24"/>
          <w:szCs w:val="24"/>
        </w:rPr>
        <w:t xml:space="preserve"> Oxford: Oxford Centre for Staff and Learning Development.</w:t>
      </w:r>
    </w:p>
    <w:p w:rsidR="007D3F94" w:rsidRPr="007D3F94" w:rsidRDefault="007D3F94" w:rsidP="007D3F94">
      <w:pPr>
        <w:widowControl w:val="0"/>
        <w:ind w:left="851" w:right="3" w:hanging="851"/>
        <w:rPr>
          <w:rFonts w:cs="Arial"/>
          <w:sz w:val="24"/>
          <w:szCs w:val="24"/>
        </w:rPr>
      </w:pPr>
    </w:p>
    <w:p w:rsidR="007D3F94" w:rsidRPr="007D3F94" w:rsidRDefault="007D3F94" w:rsidP="007D3F94">
      <w:pPr>
        <w:rPr>
          <w:sz w:val="24"/>
          <w:szCs w:val="24"/>
        </w:rPr>
      </w:pPr>
    </w:p>
    <w:sectPr w:rsidR="007D3F94" w:rsidRPr="007D3F94" w:rsidSect="005205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B7D34"/>
    <w:multiLevelType w:val="hybridMultilevel"/>
    <w:tmpl w:val="E942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CA38F2"/>
    <w:multiLevelType w:val="hybridMultilevel"/>
    <w:tmpl w:val="AA086640"/>
    <w:lvl w:ilvl="0" w:tplc="2F401A1E">
      <w:start w:val="1"/>
      <w:numFmt w:val="bullet"/>
      <w:lvlText w:val="•"/>
      <w:lvlJc w:val="left"/>
      <w:pPr>
        <w:tabs>
          <w:tab w:val="num" w:pos="720"/>
        </w:tabs>
        <w:ind w:left="720" w:hanging="360"/>
      </w:pPr>
      <w:rPr>
        <w:rFonts w:ascii="Arial" w:hAnsi="Arial" w:hint="default"/>
      </w:rPr>
    </w:lvl>
    <w:lvl w:ilvl="1" w:tplc="5E963E64" w:tentative="1">
      <w:start w:val="1"/>
      <w:numFmt w:val="bullet"/>
      <w:lvlText w:val="•"/>
      <w:lvlJc w:val="left"/>
      <w:pPr>
        <w:tabs>
          <w:tab w:val="num" w:pos="1440"/>
        </w:tabs>
        <w:ind w:left="1440" w:hanging="360"/>
      </w:pPr>
      <w:rPr>
        <w:rFonts w:ascii="Arial" w:hAnsi="Arial" w:hint="default"/>
      </w:rPr>
    </w:lvl>
    <w:lvl w:ilvl="2" w:tplc="DAA8E34E" w:tentative="1">
      <w:start w:val="1"/>
      <w:numFmt w:val="bullet"/>
      <w:lvlText w:val="•"/>
      <w:lvlJc w:val="left"/>
      <w:pPr>
        <w:tabs>
          <w:tab w:val="num" w:pos="2160"/>
        </w:tabs>
        <w:ind w:left="2160" w:hanging="360"/>
      </w:pPr>
      <w:rPr>
        <w:rFonts w:ascii="Arial" w:hAnsi="Arial" w:hint="default"/>
      </w:rPr>
    </w:lvl>
    <w:lvl w:ilvl="3" w:tplc="DB8ABD6E" w:tentative="1">
      <w:start w:val="1"/>
      <w:numFmt w:val="bullet"/>
      <w:lvlText w:val="•"/>
      <w:lvlJc w:val="left"/>
      <w:pPr>
        <w:tabs>
          <w:tab w:val="num" w:pos="2880"/>
        </w:tabs>
        <w:ind w:left="2880" w:hanging="360"/>
      </w:pPr>
      <w:rPr>
        <w:rFonts w:ascii="Arial" w:hAnsi="Arial" w:hint="default"/>
      </w:rPr>
    </w:lvl>
    <w:lvl w:ilvl="4" w:tplc="D9EA8DCC" w:tentative="1">
      <w:start w:val="1"/>
      <w:numFmt w:val="bullet"/>
      <w:lvlText w:val="•"/>
      <w:lvlJc w:val="left"/>
      <w:pPr>
        <w:tabs>
          <w:tab w:val="num" w:pos="3600"/>
        </w:tabs>
        <w:ind w:left="3600" w:hanging="360"/>
      </w:pPr>
      <w:rPr>
        <w:rFonts w:ascii="Arial" w:hAnsi="Arial" w:hint="default"/>
      </w:rPr>
    </w:lvl>
    <w:lvl w:ilvl="5" w:tplc="53402AC0" w:tentative="1">
      <w:start w:val="1"/>
      <w:numFmt w:val="bullet"/>
      <w:lvlText w:val="•"/>
      <w:lvlJc w:val="left"/>
      <w:pPr>
        <w:tabs>
          <w:tab w:val="num" w:pos="4320"/>
        </w:tabs>
        <w:ind w:left="4320" w:hanging="360"/>
      </w:pPr>
      <w:rPr>
        <w:rFonts w:ascii="Arial" w:hAnsi="Arial" w:hint="default"/>
      </w:rPr>
    </w:lvl>
    <w:lvl w:ilvl="6" w:tplc="4E220596" w:tentative="1">
      <w:start w:val="1"/>
      <w:numFmt w:val="bullet"/>
      <w:lvlText w:val="•"/>
      <w:lvlJc w:val="left"/>
      <w:pPr>
        <w:tabs>
          <w:tab w:val="num" w:pos="5040"/>
        </w:tabs>
        <w:ind w:left="5040" w:hanging="360"/>
      </w:pPr>
      <w:rPr>
        <w:rFonts w:ascii="Arial" w:hAnsi="Arial" w:hint="default"/>
      </w:rPr>
    </w:lvl>
    <w:lvl w:ilvl="7" w:tplc="B7909022" w:tentative="1">
      <w:start w:val="1"/>
      <w:numFmt w:val="bullet"/>
      <w:lvlText w:val="•"/>
      <w:lvlJc w:val="left"/>
      <w:pPr>
        <w:tabs>
          <w:tab w:val="num" w:pos="5760"/>
        </w:tabs>
        <w:ind w:left="5760" w:hanging="360"/>
      </w:pPr>
      <w:rPr>
        <w:rFonts w:ascii="Arial" w:hAnsi="Arial" w:hint="default"/>
      </w:rPr>
    </w:lvl>
    <w:lvl w:ilvl="8" w:tplc="D87824B2" w:tentative="1">
      <w:start w:val="1"/>
      <w:numFmt w:val="bullet"/>
      <w:lvlText w:val="•"/>
      <w:lvlJc w:val="left"/>
      <w:pPr>
        <w:tabs>
          <w:tab w:val="num" w:pos="6480"/>
        </w:tabs>
        <w:ind w:left="6480" w:hanging="360"/>
      </w:pPr>
      <w:rPr>
        <w:rFonts w:ascii="Arial" w:hAnsi="Arial" w:hint="default"/>
      </w:rPr>
    </w:lvl>
  </w:abstractNum>
  <w:abstractNum w:abstractNumId="2">
    <w:nsid w:val="7B6E036D"/>
    <w:multiLevelType w:val="hybridMultilevel"/>
    <w:tmpl w:val="6B1A5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D3F94"/>
    <w:rsid w:val="002C3C41"/>
    <w:rsid w:val="005205E4"/>
    <w:rsid w:val="007D3F94"/>
    <w:rsid w:val="00836C87"/>
    <w:rsid w:val="009A18EB"/>
    <w:rsid w:val="00FA71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3F9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D3F9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FA711A"/>
    <w:pPr>
      <w:ind w:left="720"/>
      <w:contextualSpacing/>
    </w:pPr>
  </w:style>
</w:styles>
</file>

<file path=word/webSettings.xml><?xml version="1.0" encoding="utf-8"?>
<w:webSettings xmlns:r="http://schemas.openxmlformats.org/officeDocument/2006/relationships" xmlns:w="http://schemas.openxmlformats.org/wordprocessingml/2006/main">
  <w:divs>
    <w:div w:id="52777719">
      <w:bodyDiv w:val="1"/>
      <w:marLeft w:val="0"/>
      <w:marRight w:val="0"/>
      <w:marTop w:val="0"/>
      <w:marBottom w:val="0"/>
      <w:divBdr>
        <w:top w:val="none" w:sz="0" w:space="0" w:color="auto"/>
        <w:left w:val="none" w:sz="0" w:space="0" w:color="auto"/>
        <w:bottom w:val="none" w:sz="0" w:space="0" w:color="auto"/>
        <w:right w:val="none" w:sz="0" w:space="0" w:color="auto"/>
      </w:divBdr>
      <w:divsChild>
        <w:div w:id="553002478">
          <w:marLeft w:val="547"/>
          <w:marRight w:val="0"/>
          <w:marTop w:val="101"/>
          <w:marBottom w:val="0"/>
          <w:divBdr>
            <w:top w:val="none" w:sz="0" w:space="0" w:color="auto"/>
            <w:left w:val="none" w:sz="0" w:space="0" w:color="auto"/>
            <w:bottom w:val="none" w:sz="0" w:space="0" w:color="auto"/>
            <w:right w:val="none" w:sz="0" w:space="0" w:color="auto"/>
          </w:divBdr>
        </w:div>
        <w:div w:id="869493880">
          <w:marLeft w:val="547"/>
          <w:marRight w:val="0"/>
          <w:marTop w:val="101"/>
          <w:marBottom w:val="0"/>
          <w:divBdr>
            <w:top w:val="none" w:sz="0" w:space="0" w:color="auto"/>
            <w:left w:val="none" w:sz="0" w:space="0" w:color="auto"/>
            <w:bottom w:val="none" w:sz="0" w:space="0" w:color="auto"/>
            <w:right w:val="none" w:sz="0" w:space="0" w:color="auto"/>
          </w:divBdr>
        </w:div>
        <w:div w:id="1308361615">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2012-05-20T09:52:00Z</dcterms:created>
  <dcterms:modified xsi:type="dcterms:W3CDTF">2012-05-20T10:17:00Z</dcterms:modified>
</cp:coreProperties>
</file>